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before="120"/>
        <w:rPr>
          <w:rFonts w:ascii="Arial" w:hAnsi="Arial" w:cs="Arial"/>
          <w:b/>
          <w:i w:val="0"/>
          <w:iCs w:val="0"/>
          <w:kern w:val="0"/>
        </w:rPr>
      </w:pPr>
      <w:r>
        <w:rPr>
          <w:rFonts w:ascii="Arial" w:hAnsi="Arial" w:eastAsia="MS Mincho" w:cs="Arial"/>
          <w:b/>
          <w:i w:val="0"/>
          <w:iCs w:val="0"/>
          <w:kern w:val="0"/>
        </w:rPr>
        <w:t>3GPP TSG-RAN WG2 Meeting #1</w:t>
      </w:r>
      <w:r>
        <w:rPr>
          <w:rFonts w:hint="eastAsia" w:ascii="Arial" w:hAnsi="Arial" w:eastAsia="宋体" w:cs="Arial"/>
          <w:b/>
          <w:i w:val="0"/>
          <w:iCs w:val="0"/>
          <w:kern w:val="0"/>
        </w:rPr>
        <w:t>30</w:t>
      </w:r>
      <w:r>
        <w:rPr>
          <w:rFonts w:ascii="Arial" w:hAnsi="Arial" w:eastAsia="MS Mincho" w:cs="Arial"/>
          <w:b/>
          <w:i w:val="0"/>
          <w:iCs w:val="0"/>
          <w:kern w:val="0"/>
        </w:rPr>
        <w:tab/>
      </w:r>
      <w:r>
        <w:rPr>
          <w:rFonts w:ascii="Arial" w:hAnsi="Arial" w:eastAsia="MS Mincho" w:cs="Arial"/>
          <w:b/>
          <w:i w:val="0"/>
          <w:iCs w:val="0"/>
          <w:kern w:val="0"/>
        </w:rPr>
        <w:t>R2-2</w:t>
      </w:r>
      <w:r>
        <w:rPr>
          <w:rFonts w:hint="eastAsia" w:ascii="Arial" w:hAnsi="Arial" w:cs="Arial"/>
          <w:b/>
          <w:i w:val="0"/>
          <w:iCs w:val="0"/>
          <w:kern w:val="0"/>
        </w:rPr>
        <w:t>50</w:t>
      </w:r>
      <w:r>
        <w:rPr>
          <w:rFonts w:hint="eastAsia" w:ascii="Arial" w:hAnsi="Arial" w:cs="Arial"/>
          <w:b/>
          <w:i w:val="0"/>
          <w:iCs w:val="0"/>
          <w:kern w:val="0"/>
          <w:lang w:val="en-US" w:eastAsia="zh-CN"/>
        </w:rPr>
        <w:t>4571</w:t>
      </w:r>
      <w:bookmarkStart w:id="31" w:name="_GoBack"/>
      <w:bookmarkEnd w:id="31"/>
    </w:p>
    <w:p>
      <w:pPr>
        <w:tabs>
          <w:tab w:val="left" w:pos="1701"/>
          <w:tab w:val="right" w:pos="9923"/>
        </w:tabs>
        <w:spacing w:before="120"/>
        <w:rPr>
          <w:rFonts w:ascii="Arial" w:hAnsi="Arial" w:cs="Arial"/>
          <w:b/>
          <w:i w:val="0"/>
          <w:iCs w:val="0"/>
          <w:kern w:val="0"/>
        </w:rPr>
      </w:pPr>
      <w:r>
        <w:rPr>
          <w:rFonts w:hint="eastAsia" w:ascii="Arial" w:hAnsi="Arial" w:eastAsia="宋体" w:cs="Arial"/>
          <w:b/>
          <w:i w:val="0"/>
          <w:iCs w:val="0"/>
          <w:kern w:val="0"/>
        </w:rPr>
        <w:t>St. Julians</w:t>
      </w:r>
      <w:r>
        <w:rPr>
          <w:rFonts w:ascii="Arial" w:hAnsi="Arial" w:eastAsia="MS Mincho" w:cs="Arial"/>
          <w:b/>
          <w:i w:val="0"/>
          <w:iCs w:val="0"/>
          <w:kern w:val="0"/>
        </w:rPr>
        <w:t xml:space="preserve">, </w:t>
      </w:r>
      <w:r>
        <w:rPr>
          <w:rFonts w:hint="eastAsia" w:ascii="Arial" w:hAnsi="Arial" w:eastAsia="宋体" w:cs="Arial"/>
          <w:b/>
          <w:i w:val="0"/>
          <w:iCs w:val="0"/>
          <w:kern w:val="0"/>
        </w:rPr>
        <w:t>Malta</w:t>
      </w:r>
      <w:r>
        <w:rPr>
          <w:rFonts w:ascii="Arial" w:hAnsi="Arial" w:eastAsia="MS Mincho" w:cs="Arial"/>
          <w:b/>
          <w:i w:val="0"/>
          <w:iCs w:val="0"/>
          <w:kern w:val="0"/>
        </w:rPr>
        <w:t xml:space="preserve">, </w:t>
      </w:r>
      <w:r>
        <w:rPr>
          <w:rFonts w:hint="eastAsia" w:ascii="Arial" w:hAnsi="Arial" w:eastAsia="宋体" w:cs="Arial"/>
          <w:b/>
          <w:i w:val="0"/>
          <w:iCs w:val="0"/>
          <w:kern w:val="0"/>
        </w:rPr>
        <w:t>May</w:t>
      </w:r>
      <w:r>
        <w:rPr>
          <w:rFonts w:ascii="Arial" w:hAnsi="Arial" w:eastAsia="MS Mincho" w:cs="Arial"/>
          <w:b/>
          <w:i w:val="0"/>
          <w:iCs w:val="0"/>
          <w:kern w:val="0"/>
        </w:rPr>
        <w:t xml:space="preserve"> </w:t>
      </w:r>
      <w:r>
        <w:rPr>
          <w:rFonts w:hint="eastAsia" w:ascii="Arial" w:hAnsi="Arial" w:eastAsia="宋体" w:cs="Arial"/>
          <w:b/>
          <w:i w:val="0"/>
          <w:iCs w:val="0"/>
          <w:kern w:val="0"/>
        </w:rPr>
        <w:t>19</w:t>
      </w:r>
      <w:r>
        <w:rPr>
          <w:rFonts w:ascii="Arial" w:hAnsi="Arial" w:eastAsia="MS Mincho" w:cs="Arial"/>
          <w:b/>
          <w:i w:val="0"/>
          <w:iCs w:val="0"/>
          <w:kern w:val="0"/>
          <w:vertAlign w:val="superscript"/>
        </w:rPr>
        <w:t>th</w:t>
      </w:r>
      <w:r>
        <w:rPr>
          <w:rFonts w:ascii="Arial" w:hAnsi="Arial" w:eastAsia="MS Mincho" w:cs="Arial"/>
          <w:b/>
          <w:i w:val="0"/>
          <w:iCs w:val="0"/>
          <w:kern w:val="0"/>
        </w:rPr>
        <w:t>-</w:t>
      </w:r>
      <w:r>
        <w:rPr>
          <w:rFonts w:hint="eastAsia" w:ascii="Arial" w:hAnsi="Arial" w:eastAsia="宋体" w:cs="Arial"/>
          <w:b/>
          <w:i w:val="0"/>
          <w:iCs w:val="0"/>
          <w:kern w:val="0"/>
        </w:rPr>
        <w:t>23</w:t>
      </w:r>
      <w:r>
        <w:rPr>
          <w:rFonts w:hint="eastAsia" w:ascii="Arial" w:hAnsi="Arial" w:eastAsia="宋体" w:cs="Arial"/>
          <w:b/>
          <w:i w:val="0"/>
          <w:iCs w:val="0"/>
          <w:kern w:val="0"/>
          <w:vertAlign w:val="superscript"/>
        </w:rPr>
        <w:t>rd</w:t>
      </w:r>
      <w:r>
        <w:rPr>
          <w:rFonts w:ascii="Arial" w:hAnsi="Arial" w:eastAsia="MS Mincho" w:cs="Arial"/>
          <w:b/>
          <w:i w:val="0"/>
          <w:iCs w:val="0"/>
          <w:kern w:val="0"/>
        </w:rPr>
        <w:t>, 202</w:t>
      </w:r>
      <w:r>
        <w:rPr>
          <w:rFonts w:ascii="Arial" w:hAnsi="Arial" w:cs="Arial"/>
          <w:b/>
          <w:i w:val="0"/>
          <w:iCs w:val="0"/>
          <w:kern w:val="0"/>
        </w:rPr>
        <w:t>5</w:t>
      </w:r>
    </w:p>
    <w:p>
      <w:pPr>
        <w:pStyle w:val="39"/>
        <w:widowControl/>
        <w:tabs>
          <w:tab w:val="left" w:pos="5672"/>
        </w:tabs>
        <w:overflowPunct/>
        <w:autoSpaceDE/>
        <w:autoSpaceDN/>
        <w:adjustRightInd/>
        <w:spacing w:before="180"/>
        <w:jc w:val="both"/>
        <w:textAlignment w:val="auto"/>
        <w:rPr>
          <w:rFonts w:eastAsia="MS Mincho"/>
          <w:i w:val="0"/>
          <w:iCs w:val="0"/>
          <w:sz w:val="22"/>
          <w:szCs w:val="22"/>
          <w:lang w:val="en-US" w:eastAsia="en-US"/>
        </w:rPr>
      </w:pPr>
      <w:r>
        <w:rPr>
          <w:rFonts w:eastAsia="MS Mincho"/>
          <w:i w:val="0"/>
          <w:iCs w:val="0"/>
          <w:sz w:val="22"/>
          <w:szCs w:val="22"/>
          <w:lang w:val="en-US" w:eastAsia="en-US"/>
        </w:rPr>
        <w:tab/>
      </w:r>
    </w:p>
    <w:p>
      <w:pPr>
        <w:pStyle w:val="39"/>
        <w:widowControl/>
        <w:tabs>
          <w:tab w:val="left" w:pos="2268"/>
        </w:tabs>
        <w:overflowPunct/>
        <w:autoSpaceDE/>
        <w:autoSpaceDN/>
        <w:adjustRightInd/>
        <w:spacing w:after="90"/>
        <w:jc w:val="both"/>
        <w:textAlignment w:val="auto"/>
        <w:rPr>
          <w:i w:val="0"/>
          <w:iCs w:val="0"/>
          <w:sz w:val="22"/>
          <w:szCs w:val="22"/>
          <w:lang w:eastAsia="zh-CN"/>
        </w:rPr>
      </w:pPr>
      <w:r>
        <w:rPr>
          <w:rFonts w:hint="eastAsia" w:eastAsia="MS Mincho"/>
          <w:i w:val="0"/>
          <w:iCs w:val="0"/>
          <w:sz w:val="22"/>
          <w:szCs w:val="22"/>
          <w:lang w:eastAsia="en-US"/>
        </w:rPr>
        <w:t>Agenda Item:</w:t>
      </w:r>
      <w:r>
        <w:rPr>
          <w:rFonts w:hint="eastAsia"/>
          <w:i w:val="0"/>
          <w:iCs w:val="0"/>
          <w:sz w:val="22"/>
          <w:szCs w:val="22"/>
          <w:lang w:eastAsia="zh-CN"/>
        </w:rPr>
        <w:tab/>
      </w:r>
      <w:r>
        <w:rPr>
          <w:rFonts w:hint="eastAsia"/>
          <w:i w:val="0"/>
          <w:iCs w:val="0"/>
          <w:sz w:val="22"/>
          <w:szCs w:val="22"/>
          <w:lang w:val="en-US" w:eastAsia="zh-CN"/>
        </w:rPr>
        <w:t>8</w:t>
      </w:r>
      <w:r>
        <w:rPr>
          <w:rFonts w:hint="eastAsia"/>
          <w:i w:val="0"/>
          <w:iCs w:val="0"/>
          <w:sz w:val="22"/>
          <w:szCs w:val="22"/>
          <w:lang w:eastAsia="zh-CN"/>
        </w:rPr>
        <w:t>.</w:t>
      </w:r>
      <w:r>
        <w:rPr>
          <w:rFonts w:hint="eastAsia"/>
          <w:i w:val="0"/>
          <w:iCs w:val="0"/>
          <w:sz w:val="22"/>
          <w:szCs w:val="22"/>
          <w:lang w:val="en-US" w:eastAsia="zh-CN"/>
        </w:rPr>
        <w:t>8</w:t>
      </w:r>
      <w:r>
        <w:rPr>
          <w:rFonts w:hint="eastAsia"/>
          <w:i w:val="0"/>
          <w:iCs w:val="0"/>
          <w:sz w:val="22"/>
          <w:szCs w:val="22"/>
          <w:lang w:eastAsia="zh-CN"/>
        </w:rPr>
        <w:t>.</w:t>
      </w:r>
      <w:r>
        <w:rPr>
          <w:rFonts w:hint="eastAsia"/>
          <w:i w:val="0"/>
          <w:iCs w:val="0"/>
          <w:sz w:val="22"/>
          <w:szCs w:val="22"/>
          <w:lang w:val="en-US" w:eastAsia="zh-CN"/>
        </w:rPr>
        <w:t>2</w:t>
      </w:r>
    </w:p>
    <w:p>
      <w:pPr>
        <w:pStyle w:val="39"/>
        <w:widowControl/>
        <w:tabs>
          <w:tab w:val="left" w:pos="2268"/>
          <w:tab w:val="center" w:pos="4536"/>
          <w:tab w:val="right" w:pos="9072"/>
        </w:tabs>
        <w:overflowPunct/>
        <w:autoSpaceDE/>
        <w:autoSpaceDN/>
        <w:adjustRightInd/>
        <w:spacing w:after="90"/>
        <w:jc w:val="both"/>
        <w:textAlignment w:val="auto"/>
        <w:rPr>
          <w:rFonts w:hint="default" w:eastAsiaTheme="minorEastAsia"/>
          <w:i w:val="0"/>
          <w:iCs w:val="0"/>
          <w:sz w:val="22"/>
          <w:szCs w:val="22"/>
          <w:highlight w:val="none"/>
          <w:lang w:val="en-US" w:eastAsia="zh-CN"/>
        </w:rPr>
      </w:pPr>
      <w:r>
        <w:rPr>
          <w:rFonts w:eastAsia="MS Mincho"/>
          <w:i w:val="0"/>
          <w:iCs w:val="0"/>
          <w:sz w:val="22"/>
          <w:szCs w:val="22"/>
          <w:highlight w:val="none"/>
          <w:lang w:eastAsia="en-US"/>
        </w:rPr>
        <w:t>Source:</w:t>
      </w:r>
      <w:r>
        <w:rPr>
          <w:rFonts w:hint="eastAsia"/>
          <w:i w:val="0"/>
          <w:iCs w:val="0"/>
          <w:sz w:val="22"/>
          <w:szCs w:val="22"/>
          <w:highlight w:val="none"/>
          <w:lang w:eastAsia="zh-CN"/>
        </w:rPr>
        <w:t xml:space="preserve"> </w:t>
      </w:r>
      <w:r>
        <w:rPr>
          <w:rFonts w:hint="eastAsia"/>
          <w:i w:val="0"/>
          <w:iCs w:val="0"/>
          <w:sz w:val="22"/>
          <w:szCs w:val="22"/>
          <w:highlight w:val="none"/>
          <w:lang w:eastAsia="zh-CN"/>
        </w:rPr>
        <w:tab/>
      </w:r>
      <w:r>
        <w:rPr>
          <w:rFonts w:hint="eastAsia" w:eastAsia="MS Mincho"/>
          <w:i w:val="0"/>
          <w:iCs w:val="0"/>
          <w:sz w:val="22"/>
          <w:szCs w:val="22"/>
          <w:highlight w:val="none"/>
          <w:lang w:eastAsia="en-US"/>
        </w:rPr>
        <w:t>C</w:t>
      </w:r>
      <w:r>
        <w:rPr>
          <w:rFonts w:hint="eastAsia" w:eastAsia="宋体"/>
          <w:i w:val="0"/>
          <w:iCs w:val="0"/>
          <w:sz w:val="22"/>
          <w:szCs w:val="22"/>
          <w:highlight w:val="none"/>
          <w:lang w:val="en-US" w:eastAsia="zh-CN"/>
        </w:rPr>
        <w:t>SCN, Huawei, HiSilicon</w:t>
      </w:r>
      <w:r>
        <w:rPr>
          <w:rFonts w:hint="eastAsia" w:eastAsia="宋体"/>
          <w:i w:val="0"/>
          <w:iCs w:val="0"/>
          <w:sz w:val="22"/>
          <w:szCs w:val="22"/>
          <w:highlight w:val="none"/>
          <w:lang w:val="en-US" w:eastAsia="zh-CN"/>
        </w:rPr>
        <w:t xml:space="preserve">, </w:t>
      </w:r>
      <w:r>
        <w:rPr>
          <w:rFonts w:ascii="Arial" w:hAnsi="Arial" w:cs="Arial"/>
          <w:b/>
          <w:bCs/>
          <w:snapToGrid w:val="0"/>
          <w:kern w:val="0"/>
          <w:sz w:val="24"/>
          <w:highlight w:val="none"/>
        </w:rPr>
        <w:t>ZTE corporation, Sanechips</w:t>
      </w:r>
      <w:r>
        <w:rPr>
          <w:rFonts w:hint="eastAsia" w:cs="Arial"/>
          <w:b/>
          <w:bCs/>
          <w:snapToGrid w:val="0"/>
          <w:kern w:val="0"/>
          <w:sz w:val="24"/>
          <w:highlight w:val="none"/>
          <w:lang w:val="en-US" w:eastAsia="zh-CN"/>
        </w:rPr>
        <w:t>, CATT</w:t>
      </w:r>
    </w:p>
    <w:p>
      <w:pPr>
        <w:pStyle w:val="39"/>
        <w:widowControl/>
        <w:tabs>
          <w:tab w:val="left" w:pos="2268"/>
          <w:tab w:val="center" w:pos="4536"/>
          <w:tab w:val="right" w:pos="9072"/>
        </w:tabs>
        <w:overflowPunct/>
        <w:autoSpaceDE/>
        <w:autoSpaceDN/>
        <w:adjustRightInd/>
        <w:spacing w:after="90"/>
        <w:ind w:left="2268" w:hanging="2268"/>
        <w:jc w:val="both"/>
        <w:textAlignment w:val="auto"/>
        <w:rPr>
          <w:i w:val="0"/>
          <w:iCs w:val="0"/>
          <w:sz w:val="22"/>
          <w:szCs w:val="22"/>
          <w:lang w:val="en-US" w:eastAsia="zh-CN"/>
        </w:rPr>
      </w:pPr>
      <w:r>
        <w:rPr>
          <w:rFonts w:eastAsia="MS Mincho"/>
          <w:i w:val="0"/>
          <w:iCs w:val="0"/>
          <w:sz w:val="22"/>
          <w:szCs w:val="22"/>
          <w:lang w:eastAsia="en-US"/>
        </w:rPr>
        <w:t>Title:</w:t>
      </w:r>
      <w:r>
        <w:rPr>
          <w:rFonts w:hint="eastAsia"/>
          <w:i w:val="0"/>
          <w:iCs w:val="0"/>
          <w:sz w:val="22"/>
          <w:szCs w:val="22"/>
          <w:lang w:eastAsia="zh-CN"/>
        </w:rPr>
        <w:t xml:space="preserve"> </w:t>
      </w:r>
      <w:r>
        <w:rPr>
          <w:rFonts w:hint="eastAsia"/>
          <w:i w:val="0"/>
          <w:iCs w:val="0"/>
          <w:sz w:val="22"/>
          <w:szCs w:val="22"/>
          <w:lang w:eastAsia="zh-CN"/>
        </w:rPr>
        <w:tab/>
      </w:r>
      <w:r>
        <w:rPr>
          <w:i w:val="0"/>
          <w:iCs w:val="0"/>
          <w:sz w:val="22"/>
          <w:szCs w:val="22"/>
          <w:lang w:eastAsia="zh-CN"/>
        </w:rPr>
        <w:t xml:space="preserve">Discussion on Downlink </w:t>
      </w:r>
      <w:r>
        <w:rPr>
          <w:rFonts w:hint="eastAsia"/>
          <w:i w:val="0"/>
          <w:iCs w:val="0"/>
          <w:sz w:val="22"/>
          <w:szCs w:val="22"/>
          <w:lang w:eastAsia="zh-CN"/>
        </w:rPr>
        <w:t>C</w:t>
      </w:r>
      <w:r>
        <w:rPr>
          <w:i w:val="0"/>
          <w:iCs w:val="0"/>
          <w:sz w:val="22"/>
          <w:szCs w:val="22"/>
          <w:lang w:eastAsia="zh-CN"/>
        </w:rPr>
        <w:t xml:space="preserve">overage </w:t>
      </w:r>
      <w:r>
        <w:rPr>
          <w:rFonts w:hint="eastAsia"/>
          <w:i w:val="0"/>
          <w:iCs w:val="0"/>
          <w:sz w:val="22"/>
          <w:szCs w:val="22"/>
          <w:lang w:eastAsia="zh-CN"/>
        </w:rPr>
        <w:t>E</w:t>
      </w:r>
      <w:r>
        <w:rPr>
          <w:i w:val="0"/>
          <w:iCs w:val="0"/>
          <w:sz w:val="22"/>
          <w:szCs w:val="22"/>
          <w:lang w:eastAsia="zh-CN"/>
        </w:rPr>
        <w:t>nhancements</w:t>
      </w:r>
    </w:p>
    <w:p>
      <w:pPr>
        <w:pStyle w:val="39"/>
        <w:widowControl/>
        <w:tabs>
          <w:tab w:val="left" w:pos="2268"/>
          <w:tab w:val="center" w:pos="4536"/>
          <w:tab w:val="right" w:pos="9072"/>
        </w:tabs>
        <w:overflowPunct/>
        <w:autoSpaceDE/>
        <w:autoSpaceDN/>
        <w:adjustRightInd/>
        <w:spacing w:after="90"/>
        <w:jc w:val="both"/>
        <w:textAlignment w:val="auto"/>
        <w:rPr>
          <w:rFonts w:eastAsia="MS Mincho"/>
          <w:i w:val="0"/>
          <w:iCs w:val="0"/>
          <w:sz w:val="22"/>
          <w:szCs w:val="22"/>
          <w:lang w:eastAsia="en-US"/>
        </w:rPr>
      </w:pPr>
      <w:r>
        <w:rPr>
          <w:rFonts w:eastAsia="MS Mincho"/>
          <w:i w:val="0"/>
          <w:iCs w:val="0"/>
          <w:sz w:val="22"/>
          <w:szCs w:val="22"/>
          <w:lang w:eastAsia="en-US"/>
        </w:rPr>
        <w:t>Document for:</w:t>
      </w:r>
      <w:r>
        <w:rPr>
          <w:rFonts w:hint="eastAsia"/>
          <w:i w:val="0"/>
          <w:iCs w:val="0"/>
          <w:sz w:val="22"/>
          <w:szCs w:val="22"/>
          <w:lang w:eastAsia="zh-CN"/>
        </w:rPr>
        <w:t xml:space="preserve"> </w:t>
      </w:r>
      <w:r>
        <w:rPr>
          <w:rFonts w:hint="eastAsia"/>
          <w:i w:val="0"/>
          <w:iCs w:val="0"/>
          <w:sz w:val="22"/>
          <w:szCs w:val="22"/>
          <w:lang w:eastAsia="zh-CN"/>
        </w:rPr>
        <w:tab/>
      </w:r>
      <w:r>
        <w:rPr>
          <w:rFonts w:hint="eastAsia" w:eastAsia="MS Mincho"/>
          <w:i w:val="0"/>
          <w:iCs w:val="0"/>
          <w:sz w:val="22"/>
          <w:szCs w:val="22"/>
          <w:lang w:eastAsia="en-US"/>
        </w:rPr>
        <w:t>Discussion</w:t>
      </w:r>
      <w:r>
        <w:rPr>
          <w:rFonts w:eastAsia="MS Mincho"/>
          <w:i w:val="0"/>
          <w:iCs w:val="0"/>
          <w:sz w:val="22"/>
          <w:szCs w:val="22"/>
          <w:lang w:eastAsia="en-US"/>
        </w:rPr>
        <w:t xml:space="preserve"> and Decision</w:t>
      </w:r>
    </w:p>
    <w:p>
      <w:pPr>
        <w:pStyle w:val="2"/>
        <w:spacing w:before="180"/>
        <w:ind w:left="850" w:hanging="849" w:hangingChars="236"/>
        <w:jc w:val="both"/>
        <w:rPr>
          <w:i w:val="0"/>
          <w:iCs w:val="0"/>
        </w:rPr>
      </w:pPr>
      <w:bookmarkStart w:id="0" w:name="_Ref35586532"/>
      <w:r>
        <w:rPr>
          <w:i w:val="0"/>
          <w:iCs w:val="0"/>
        </w:rPr>
        <w:t>Introduction</w:t>
      </w:r>
      <w:bookmarkEnd w:id="0"/>
    </w:p>
    <w:p>
      <w:pPr>
        <w:tabs>
          <w:tab w:val="center" w:pos="4819"/>
        </w:tabs>
        <w:spacing w:after="180"/>
        <w:jc w:val="both"/>
        <w:rPr>
          <w:rFonts w:ascii="Times New Roman" w:hAnsi="Times New Roman" w:cs="Times New Roman"/>
          <w:i w:val="0"/>
          <w:iCs w:val="0"/>
          <w:kern w:val="0"/>
          <w:sz w:val="20"/>
          <w:szCs w:val="20"/>
          <w:lang w:val="en-GB"/>
        </w:rPr>
      </w:pPr>
      <w:r>
        <w:rPr>
          <w:rFonts w:hint="eastAsia" w:ascii="Times New Roman" w:hAnsi="Times New Roman" w:cs="Times New Roman"/>
          <w:i w:val="0"/>
          <w:iCs w:val="0"/>
          <w:kern w:val="0"/>
          <w:sz w:val="20"/>
          <w:szCs w:val="20"/>
          <w:lang w:val="en-GB"/>
        </w:rPr>
        <w:t>In RAN2#129b, some agreements of downlink coverage enhancement have been achieved as shown follow [1]:</w:t>
      </w:r>
    </w:p>
    <w:tbl>
      <w:tblPr>
        <w:tblStyle w:val="54"/>
        <w:tblW w:w="50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5" w:type="pct"/>
          </w:tcPr>
          <w:p>
            <w:pPr>
              <w:tabs>
                <w:tab w:val="center" w:pos="4819"/>
              </w:tabs>
              <w:spacing w:after="180"/>
              <w:jc w:val="both"/>
              <w:rPr>
                <w:rFonts w:ascii="Arial" w:hAnsi="Arial" w:cs="Arial"/>
                <w:i w:val="0"/>
                <w:iCs w:val="0"/>
                <w:kern w:val="0"/>
                <w:sz w:val="20"/>
                <w:szCs w:val="20"/>
                <w:lang w:val="de-DE" w:eastAsia="en-US"/>
              </w:rPr>
            </w:pPr>
            <w:r>
              <w:rPr>
                <w:rFonts w:ascii="Arial" w:hAnsi="Arial" w:cs="Arial"/>
                <w:i w:val="0"/>
                <w:iCs w:val="0"/>
                <w:kern w:val="0"/>
                <w:sz w:val="20"/>
                <w:szCs w:val="20"/>
                <w:lang w:val="de-DE" w:eastAsia="en-US"/>
              </w:rPr>
              <w:t>Agreements;</w:t>
            </w:r>
          </w:p>
          <w:p>
            <w:pPr>
              <w:tabs>
                <w:tab w:val="center" w:pos="4819"/>
              </w:tabs>
              <w:spacing w:after="180"/>
              <w:jc w:val="both"/>
              <w:rPr>
                <w:rFonts w:ascii="Arial" w:hAnsi="Arial" w:cs="Arial"/>
                <w:i w:val="0"/>
                <w:iCs w:val="0"/>
                <w:kern w:val="0"/>
                <w:sz w:val="20"/>
                <w:szCs w:val="20"/>
                <w:lang w:val="de-DE" w:eastAsia="en-US"/>
              </w:rPr>
            </w:pPr>
            <w:r>
              <w:rPr>
                <w:rFonts w:ascii="Arial" w:hAnsi="Arial" w:cs="Arial"/>
                <w:i w:val="0"/>
                <w:iCs w:val="0"/>
                <w:kern w:val="0"/>
                <w:sz w:val="20"/>
                <w:szCs w:val="20"/>
                <w:lang w:val="de-DE" w:eastAsia="en-US"/>
              </w:rPr>
              <w:t>1.From SSB extension point of view, RAN2 assumes there is no need to introduce new barring bits</w:t>
            </w:r>
          </w:p>
          <w:p>
            <w:pPr>
              <w:tabs>
                <w:tab w:val="center" w:pos="4819"/>
              </w:tabs>
              <w:spacing w:after="180"/>
              <w:jc w:val="both"/>
              <w:rPr>
                <w:rFonts w:ascii="Arial" w:hAnsi="Arial" w:cs="Arial"/>
                <w:i w:val="0"/>
                <w:iCs w:val="0"/>
                <w:kern w:val="0"/>
                <w:sz w:val="20"/>
                <w:szCs w:val="20"/>
                <w:lang w:val="de-DE" w:eastAsia="en-US"/>
              </w:rPr>
            </w:pPr>
            <w:r>
              <w:rPr>
                <w:rFonts w:ascii="Arial" w:hAnsi="Arial" w:cs="Arial"/>
                <w:i w:val="0"/>
                <w:iCs w:val="0"/>
                <w:kern w:val="0"/>
                <w:sz w:val="20"/>
                <w:szCs w:val="20"/>
                <w:lang w:val="de-DE" w:eastAsia="en-US"/>
              </w:rPr>
              <w:t>2.</w:t>
            </w:r>
            <w:r>
              <w:rPr>
                <w:rFonts w:ascii="Arial" w:hAnsi="Arial" w:cs="Arial"/>
                <w:i w:val="0"/>
                <w:iCs w:val="0"/>
                <w:kern w:val="0"/>
                <w:sz w:val="20"/>
                <w:szCs w:val="20"/>
                <w:lang w:val="de-DE" w:eastAsia="en-US"/>
              </w:rPr>
              <w:tab/>
            </w:r>
            <w:r>
              <w:rPr>
                <w:rFonts w:ascii="Arial" w:hAnsi="Arial" w:cs="Arial"/>
                <w:i w:val="0"/>
                <w:iCs w:val="0"/>
                <w:kern w:val="0"/>
                <w:sz w:val="20"/>
                <w:szCs w:val="20"/>
                <w:lang w:val="de-DE" w:eastAsia="en-US"/>
              </w:rPr>
              <w:t>We wait for further progress in RAN1 on link level enhancements before further discussing the possible impacts on access barring</w:t>
            </w:r>
          </w:p>
          <w:p>
            <w:pPr>
              <w:tabs>
                <w:tab w:val="center" w:pos="4819"/>
              </w:tabs>
              <w:spacing w:after="180"/>
              <w:jc w:val="both"/>
              <w:rPr>
                <w:rFonts w:ascii="Arial" w:hAnsi="Arial" w:cs="Arial"/>
                <w:i w:val="0"/>
                <w:iCs w:val="0"/>
                <w:kern w:val="0"/>
                <w:sz w:val="20"/>
                <w:szCs w:val="20"/>
                <w:lang w:val="de-DE" w:eastAsia="en-US"/>
              </w:rPr>
            </w:pPr>
            <w:r>
              <w:rPr>
                <w:rFonts w:ascii="Arial" w:hAnsi="Arial" w:cs="Arial"/>
                <w:i w:val="0"/>
                <w:iCs w:val="0"/>
                <w:kern w:val="0"/>
                <w:sz w:val="20"/>
                <w:szCs w:val="20"/>
                <w:lang w:val="de-DE" w:eastAsia="en-US"/>
              </w:rPr>
              <w:t>3.</w:t>
            </w:r>
            <w:r>
              <w:rPr>
                <w:rFonts w:ascii="Arial" w:hAnsi="Arial" w:cs="Arial"/>
                <w:i w:val="0"/>
                <w:iCs w:val="0"/>
                <w:kern w:val="0"/>
                <w:sz w:val="20"/>
                <w:szCs w:val="20"/>
                <w:lang w:val="de-DE" w:eastAsia="en-US"/>
              </w:rPr>
              <w:tab/>
            </w:r>
            <w:r>
              <w:rPr>
                <w:rFonts w:ascii="Arial" w:hAnsi="Arial" w:cs="Arial"/>
                <w:i w:val="0"/>
                <w:iCs w:val="0"/>
                <w:kern w:val="0"/>
                <w:sz w:val="20"/>
                <w:szCs w:val="20"/>
                <w:lang w:val="de-DE" w:eastAsia="en-US"/>
              </w:rPr>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pPr>
              <w:tabs>
                <w:tab w:val="center" w:pos="4819"/>
              </w:tabs>
              <w:spacing w:after="180"/>
              <w:jc w:val="both"/>
              <w:rPr>
                <w:rFonts w:ascii="Arial" w:hAnsi="Arial" w:cs="Arial"/>
                <w:i w:val="0"/>
                <w:iCs w:val="0"/>
                <w:kern w:val="0"/>
                <w:sz w:val="20"/>
                <w:szCs w:val="20"/>
                <w:lang w:val="de-DE" w:eastAsia="en-US"/>
              </w:rPr>
            </w:pPr>
            <w:r>
              <w:rPr>
                <w:rFonts w:ascii="Arial" w:hAnsi="Arial" w:cs="Arial"/>
                <w:i w:val="0"/>
                <w:iCs w:val="0"/>
                <w:kern w:val="0"/>
                <w:sz w:val="20"/>
                <w:szCs w:val="20"/>
                <w:lang w:val="de-DE" w:eastAsia="en-US"/>
              </w:rPr>
              <w:t>4.</w:t>
            </w:r>
            <w:r>
              <w:rPr>
                <w:rFonts w:ascii="Arial" w:hAnsi="Arial" w:cs="Arial"/>
                <w:i w:val="0"/>
                <w:iCs w:val="0"/>
                <w:kern w:val="0"/>
                <w:sz w:val="20"/>
                <w:szCs w:val="20"/>
                <w:lang w:val="de-DE" w:eastAsia="en-US"/>
              </w:rPr>
              <w:tab/>
            </w:r>
            <w:r>
              <w:rPr>
                <w:rFonts w:ascii="Arial" w:hAnsi="Arial" w:cs="Arial"/>
                <w:i w:val="0"/>
                <w:iCs w:val="0"/>
                <w:kern w:val="0"/>
                <w:sz w:val="20"/>
                <w:szCs w:val="20"/>
                <w:lang w:val="de-DE" w:eastAsia="en-US"/>
              </w:rPr>
              <w:t>We support</w:t>
            </w:r>
            <w:bookmarkStart w:id="1" w:name="OLE_LINK20"/>
            <w:r>
              <w:rPr>
                <w:rFonts w:ascii="Arial" w:hAnsi="Arial" w:cs="Arial"/>
                <w:i w:val="0"/>
                <w:iCs w:val="0"/>
                <w:kern w:val="0"/>
                <w:sz w:val="20"/>
                <w:szCs w:val="20"/>
                <w:lang w:val="de-DE" w:eastAsia="en-US"/>
              </w:rPr>
              <w:t xml:space="preserve"> configuring more than 4 SMTCs per frequency (e.g. 6) for</w:t>
            </w:r>
            <w:bookmarkEnd w:id="1"/>
            <w:r>
              <w:rPr>
                <w:rFonts w:ascii="Arial" w:hAnsi="Arial" w:cs="Arial"/>
                <w:i w:val="0"/>
                <w:iCs w:val="0"/>
                <w:kern w:val="0"/>
                <w:sz w:val="20"/>
                <w:szCs w:val="20"/>
                <w:lang w:val="de-DE" w:eastAsia="en-US"/>
              </w:rPr>
              <w:t xml:space="preserve"> idle/inactive UEs. It will be up to UE implementation to select which of the SMTCs to consider (send this RAN2 decision to RAN4 for checking)</w:t>
            </w:r>
          </w:p>
          <w:p>
            <w:pPr>
              <w:tabs>
                <w:tab w:val="center" w:pos="4819"/>
              </w:tabs>
              <w:spacing w:after="180"/>
              <w:jc w:val="both"/>
              <w:rPr>
                <w:rFonts w:ascii="Arial" w:hAnsi="Arial" w:cs="Arial"/>
                <w:i w:val="0"/>
                <w:iCs w:val="0"/>
                <w:kern w:val="0"/>
                <w:sz w:val="20"/>
                <w:szCs w:val="20"/>
                <w:lang w:val="de-DE" w:eastAsia="en-US"/>
              </w:rPr>
            </w:pPr>
            <w:r>
              <w:rPr>
                <w:rFonts w:ascii="Arial" w:hAnsi="Arial" w:cs="Arial"/>
                <w:i w:val="0"/>
                <w:iCs w:val="0"/>
                <w:kern w:val="0"/>
                <w:sz w:val="20"/>
                <w:szCs w:val="20"/>
                <w:lang w:val="de-DE" w:eastAsia="en-US"/>
              </w:rPr>
              <w:t>5.</w:t>
            </w:r>
            <w:r>
              <w:rPr>
                <w:rFonts w:ascii="Arial" w:hAnsi="Arial" w:cs="Arial"/>
                <w:i w:val="0"/>
                <w:iCs w:val="0"/>
                <w:kern w:val="0"/>
                <w:sz w:val="20"/>
                <w:szCs w:val="20"/>
                <w:lang w:val="de-DE" w:eastAsia="en-US"/>
              </w:rPr>
              <w:tab/>
            </w:r>
            <w:r>
              <w:rPr>
                <w:rFonts w:ascii="Arial" w:hAnsi="Arial" w:cs="Arial"/>
                <w:i w:val="0"/>
                <w:iCs w:val="0"/>
                <w:kern w:val="0"/>
                <w:sz w:val="20"/>
                <w:szCs w:val="20"/>
                <w:lang w:val="de-DE" w:eastAsia="en-US"/>
              </w:rPr>
              <w:t xml:space="preserve">Network can provide assistance information (for Rel-19 UEs, </w:t>
            </w:r>
            <w:bookmarkStart w:id="2" w:name="OLE_LINK6"/>
            <w:r>
              <w:rPr>
                <w:rFonts w:ascii="Arial" w:hAnsi="Arial" w:cs="Arial"/>
                <w:i w:val="0"/>
                <w:iCs w:val="0"/>
                <w:kern w:val="0"/>
                <w:sz w:val="20"/>
                <w:szCs w:val="20"/>
                <w:lang w:val="de-DE" w:eastAsia="en-US"/>
              </w:rPr>
              <w:t xml:space="preserve">not necessarily </w:t>
            </w:r>
            <w:bookmarkEnd w:id="2"/>
            <w:r>
              <w:rPr>
                <w:rFonts w:ascii="Arial" w:hAnsi="Arial" w:cs="Arial"/>
                <w:i w:val="0"/>
                <w:iCs w:val="0"/>
                <w:kern w:val="0"/>
                <w:sz w:val="20"/>
                <w:szCs w:val="20"/>
                <w:lang w:val="de-DE" w:eastAsia="en-US"/>
              </w:rPr>
              <w:t>supporting DL CE) on the association between SMTC and location to help UE to perform SMTC selection for idle/inactive mode. FFS on the details of location information,</w:t>
            </w:r>
            <w:r>
              <w:rPr>
                <w:rFonts w:ascii="Arial" w:hAnsi="Arial" w:cs="Arial"/>
                <w:i w:val="0"/>
                <w:iCs w:val="0"/>
                <w:kern w:val="0"/>
                <w:sz w:val="20"/>
                <w:szCs w:val="20"/>
                <w:highlight w:val="yellow"/>
                <w:lang w:val="de-DE" w:eastAsia="en-US"/>
              </w:rPr>
              <w:t xml:space="preserve"> </w:t>
            </w:r>
            <w:bookmarkStart w:id="3" w:name="OLE_LINK30"/>
            <w:r>
              <w:rPr>
                <w:rFonts w:ascii="Arial" w:hAnsi="Arial" w:cs="Arial"/>
                <w:i w:val="0"/>
                <w:iCs w:val="0"/>
                <w:kern w:val="0"/>
                <w:sz w:val="20"/>
                <w:szCs w:val="20"/>
                <w:highlight w:val="yellow"/>
                <w:lang w:val="de-DE" w:eastAsia="en-US"/>
              </w:rPr>
              <w:t>e.g. serving cell SSB index, reference location</w:t>
            </w:r>
            <w:r>
              <w:rPr>
                <w:rFonts w:ascii="Arial" w:hAnsi="Arial" w:cs="Arial"/>
                <w:i w:val="0"/>
                <w:iCs w:val="0"/>
                <w:kern w:val="0"/>
                <w:sz w:val="20"/>
                <w:szCs w:val="20"/>
                <w:lang w:val="de-DE" w:eastAsia="en-US"/>
              </w:rPr>
              <w:t>, etc.</w:t>
            </w:r>
            <w:bookmarkEnd w:id="3"/>
            <w:r>
              <w:rPr>
                <w:rFonts w:ascii="Arial" w:hAnsi="Arial" w:cs="Arial"/>
                <w:i w:val="0"/>
                <w:iCs w:val="0"/>
                <w:kern w:val="0"/>
                <w:sz w:val="20"/>
                <w:szCs w:val="20"/>
                <w:lang w:val="de-DE" w:eastAsia="en-US"/>
              </w:rPr>
              <w:t xml:space="preserve"> In any case it is up to UE implementation on how to utilize the assistance information for SMTC selection in idle/inactive mode.</w:t>
            </w:r>
          </w:p>
        </w:tc>
      </w:tr>
    </w:tbl>
    <w:p>
      <w:pPr>
        <w:tabs>
          <w:tab w:val="center" w:pos="4819"/>
        </w:tabs>
        <w:spacing w:after="180"/>
        <w:jc w:val="both"/>
        <w:rPr>
          <w:rFonts w:ascii="Times New Roman" w:hAnsi="Times New Roman" w:cs="Times New Roman"/>
          <w:i w:val="0"/>
          <w:iCs w:val="0"/>
          <w:kern w:val="0"/>
          <w:sz w:val="20"/>
          <w:szCs w:val="20"/>
          <w:lang w:val="en-GB"/>
        </w:rPr>
      </w:pPr>
      <w:r>
        <w:rPr>
          <w:rFonts w:hint="eastAsia" w:ascii="Times New Roman" w:hAnsi="Times New Roman" w:cs="Times New Roman"/>
          <w:i w:val="0"/>
          <w:iCs w:val="0"/>
          <w:kern w:val="0"/>
          <w:sz w:val="20"/>
          <w:szCs w:val="20"/>
          <w:lang w:val="en-GB"/>
        </w:rPr>
        <w:t>In this contribution, we</w:t>
      </w:r>
      <w:r>
        <w:rPr>
          <w:rFonts w:hint="eastAsia" w:ascii="Times New Roman" w:hAnsi="Times New Roman" w:cs="Times New Roman"/>
          <w:i w:val="0"/>
          <w:iCs w:val="0"/>
          <w:kern w:val="0"/>
          <w:sz w:val="20"/>
          <w:szCs w:val="20"/>
        </w:rPr>
        <w:t xml:space="preserve"> further</w:t>
      </w:r>
      <w:r>
        <w:rPr>
          <w:rFonts w:hint="eastAsia" w:ascii="Times New Roman" w:hAnsi="Times New Roman" w:cs="Times New Roman"/>
          <w:i w:val="0"/>
          <w:iCs w:val="0"/>
          <w:kern w:val="0"/>
          <w:sz w:val="20"/>
          <w:szCs w:val="20"/>
          <w:lang w:val="en-GB"/>
        </w:rPr>
        <w:t xml:space="preserve"> </w:t>
      </w:r>
      <w:r>
        <w:rPr>
          <w:rFonts w:hint="eastAsia" w:ascii="Times New Roman" w:hAnsi="Times New Roman" w:cs="Times New Roman"/>
          <w:i w:val="0"/>
          <w:iCs w:val="0"/>
          <w:kern w:val="0"/>
          <w:sz w:val="20"/>
          <w:szCs w:val="20"/>
        </w:rPr>
        <w:t>discuss SMTC</w:t>
      </w:r>
      <w:r>
        <w:rPr>
          <w:rFonts w:hint="eastAsia" w:ascii="Times New Roman" w:hAnsi="Times New Roman" w:cs="Times New Roman"/>
          <w:i w:val="0"/>
          <w:iCs w:val="0"/>
          <w:kern w:val="0"/>
          <w:sz w:val="20"/>
          <w:szCs w:val="20"/>
          <w:lang w:val="en-GB"/>
        </w:rPr>
        <w:t xml:space="preserve"> enhancement</w:t>
      </w:r>
      <w:r>
        <w:rPr>
          <w:rFonts w:hint="eastAsia" w:ascii="Times New Roman" w:hAnsi="Times New Roman" w:cs="Times New Roman"/>
          <w:i w:val="0"/>
          <w:iCs w:val="0"/>
          <w:kern w:val="0"/>
          <w:sz w:val="20"/>
          <w:szCs w:val="20"/>
        </w:rPr>
        <w:t>s for idle/inactive and connected mode</w:t>
      </w:r>
      <w:r>
        <w:rPr>
          <w:rFonts w:hint="eastAsia" w:ascii="Times New Roman" w:hAnsi="Times New Roman" w:cs="Times New Roman"/>
          <w:i w:val="0"/>
          <w:iCs w:val="0"/>
          <w:kern w:val="0"/>
          <w:sz w:val="20"/>
          <w:szCs w:val="20"/>
          <w:lang w:val="en-GB"/>
        </w:rPr>
        <w:t xml:space="preserve"> in NR NTN</w:t>
      </w:r>
      <w:r>
        <w:rPr>
          <w:rFonts w:hint="eastAsia" w:ascii="Times New Roman" w:hAnsi="Times New Roman" w:cs="Times New Roman"/>
          <w:i w:val="0"/>
          <w:iCs w:val="0"/>
          <w:kern w:val="0"/>
          <w:sz w:val="20"/>
          <w:szCs w:val="20"/>
        </w:rPr>
        <w:t xml:space="preserve"> based on the agreements [1] and offline discussion [2] of RAN2#129b meeting</w:t>
      </w:r>
      <w:r>
        <w:rPr>
          <w:rFonts w:hint="eastAsia" w:ascii="Times New Roman" w:hAnsi="Times New Roman" w:cs="Times New Roman"/>
          <w:i w:val="0"/>
          <w:iCs w:val="0"/>
          <w:kern w:val="0"/>
          <w:sz w:val="20"/>
          <w:szCs w:val="20"/>
          <w:lang w:val="en-GB"/>
        </w:rPr>
        <w:t>.</w:t>
      </w:r>
    </w:p>
    <w:p>
      <w:pPr>
        <w:pStyle w:val="2"/>
        <w:spacing w:before="180"/>
        <w:ind w:left="850" w:hanging="849" w:hangingChars="236"/>
        <w:jc w:val="both"/>
        <w:rPr>
          <w:i w:val="0"/>
          <w:iCs w:val="0"/>
          <w:lang w:eastAsia="zh-CN"/>
        </w:rPr>
      </w:pPr>
      <w:r>
        <w:rPr>
          <w:i w:val="0"/>
          <w:iCs w:val="0"/>
        </w:rPr>
        <w:t>Discussion</w:t>
      </w:r>
    </w:p>
    <w:p>
      <w:pPr>
        <w:tabs>
          <w:tab w:val="center" w:pos="4819"/>
        </w:tabs>
        <w:spacing w:after="180"/>
        <w:rPr>
          <w:rFonts w:ascii="Times New Roman" w:hAnsi="Times New Roman" w:cs="Times New Roman"/>
          <w:b/>
          <w:i w:val="0"/>
          <w:iCs w:val="0"/>
          <w:kern w:val="0"/>
          <w:sz w:val="20"/>
          <w:szCs w:val="20"/>
          <w:u w:val="single"/>
          <w:lang w:val="en-GB"/>
        </w:rPr>
      </w:pPr>
      <w:r>
        <w:rPr>
          <w:rFonts w:hint="eastAsia" w:ascii="Times New Roman" w:hAnsi="Times New Roman" w:cs="Times New Roman"/>
          <w:b/>
          <w:i w:val="0"/>
          <w:iCs w:val="0"/>
          <w:kern w:val="0"/>
          <w:sz w:val="20"/>
          <w:szCs w:val="20"/>
          <w:u w:val="single"/>
          <w:lang w:val="en-GB"/>
        </w:rPr>
        <w:t>2</w:t>
      </w:r>
      <w:r>
        <w:rPr>
          <w:rFonts w:ascii="Times New Roman" w:hAnsi="Times New Roman" w:cs="Times New Roman"/>
          <w:b/>
          <w:i w:val="0"/>
          <w:iCs w:val="0"/>
          <w:kern w:val="0"/>
          <w:sz w:val="20"/>
          <w:szCs w:val="20"/>
          <w:u w:val="single"/>
          <w:lang w:val="en-GB"/>
        </w:rPr>
        <w:t>.</w:t>
      </w:r>
      <w:r>
        <w:rPr>
          <w:rFonts w:hint="eastAsia" w:ascii="Times New Roman" w:hAnsi="Times New Roman" w:cs="Times New Roman"/>
          <w:b/>
          <w:i w:val="0"/>
          <w:iCs w:val="0"/>
          <w:kern w:val="0"/>
          <w:sz w:val="20"/>
          <w:szCs w:val="20"/>
          <w:u w:val="single"/>
        </w:rPr>
        <w:t>1</w:t>
      </w:r>
      <w:r>
        <w:rPr>
          <w:rFonts w:ascii="Times New Roman" w:hAnsi="Times New Roman" w:cs="Times New Roman"/>
          <w:b/>
          <w:i w:val="0"/>
          <w:iCs w:val="0"/>
          <w:kern w:val="0"/>
          <w:sz w:val="20"/>
          <w:szCs w:val="20"/>
          <w:u w:val="single"/>
          <w:lang w:val="en-GB"/>
        </w:rPr>
        <w:t xml:space="preserve"> </w:t>
      </w:r>
      <w:r>
        <w:rPr>
          <w:rFonts w:hint="eastAsia" w:ascii="Times New Roman" w:hAnsi="Times New Roman" w:cs="Times New Roman"/>
          <w:b/>
          <w:i w:val="0"/>
          <w:iCs w:val="0"/>
          <w:kern w:val="0"/>
          <w:sz w:val="20"/>
          <w:szCs w:val="20"/>
          <w:u w:val="single"/>
        </w:rPr>
        <w:t>SMTC enhancements in RRC_IDLE/Inactive</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RAN2 has agreed that network can provide assistance information regarding SMTC enhancements. In addition to UE implementation mentioned by some companies (e.g., choosing SMTC based on RSRP), two primary solutions are currently under consideration: SSB-based solution and the location-based solution.</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Below we compared pros and cons of these 2 options.</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2"/>
        <w:gridCol w:w="3809"/>
        <w:gridCol w:w="3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2222" w:type="dxa"/>
          </w:tcPr>
          <w:p>
            <w:pPr>
              <w:rPr>
                <w:b/>
                <w:bCs/>
                <w:i w:val="0"/>
                <w:iCs w:val="0"/>
              </w:rPr>
            </w:pPr>
          </w:p>
        </w:tc>
        <w:tc>
          <w:tcPr>
            <w:tcW w:w="3809" w:type="dxa"/>
          </w:tcPr>
          <w:p>
            <w:pPr>
              <w:widowControl/>
              <w:tabs>
                <w:tab w:val="center" w:pos="4819"/>
              </w:tabs>
              <w:spacing w:after="180"/>
              <w:jc w:val="center"/>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Pros</w:t>
            </w:r>
          </w:p>
        </w:tc>
        <w:tc>
          <w:tcPr>
            <w:tcW w:w="3808" w:type="dxa"/>
          </w:tcPr>
          <w:p>
            <w:pPr>
              <w:widowControl/>
              <w:tabs>
                <w:tab w:val="center" w:pos="4819"/>
              </w:tabs>
              <w:spacing w:after="180"/>
              <w:jc w:val="center"/>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22" w:type="dxa"/>
          </w:tcPr>
          <w:p>
            <w:pPr>
              <w:tabs>
                <w:tab w:val="center" w:pos="4819"/>
              </w:tabs>
              <w:spacing w:after="180"/>
              <w:rPr>
                <w:rFonts w:ascii="Times New Roman" w:hAnsi="Times New Roman" w:cs="Times New Roman"/>
                <w:i w:val="0"/>
                <w:iCs w:val="0"/>
                <w:strike/>
                <w:kern w:val="0"/>
                <w:sz w:val="20"/>
                <w:szCs w:val="20"/>
              </w:rPr>
            </w:pPr>
            <w:r>
              <w:rPr>
                <w:rFonts w:hint="eastAsia" w:ascii="Times New Roman" w:hAnsi="Times New Roman" w:cs="Times New Roman"/>
                <w:i w:val="0"/>
                <w:iCs w:val="0"/>
                <w:kern w:val="0"/>
                <w:sz w:val="20"/>
                <w:szCs w:val="20"/>
              </w:rPr>
              <w:t>Option 1:</w:t>
            </w:r>
          </w:p>
          <w:p>
            <w:pPr>
              <w:tabs>
                <w:tab w:val="center" w:pos="4819"/>
              </w:tabs>
              <w:spacing w:after="180"/>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SSB-based solution</w:t>
            </w:r>
          </w:p>
        </w:tc>
        <w:tc>
          <w:tcPr>
            <w:tcW w:w="3809" w:type="dxa"/>
          </w:tcPr>
          <w:p>
            <w:pPr>
              <w:widowControl/>
              <w:tabs>
                <w:tab w:val="center" w:pos="4819"/>
              </w:tabs>
              <w:spacing w:after="0" w:line="279" w:lineRule="auto"/>
              <w:rPr>
                <w:rFonts w:ascii="Times New Roman" w:hAnsi="Times New Roman" w:cs="Times New Roman"/>
                <w:i w:val="0"/>
                <w:iCs w:val="0"/>
                <w:kern w:val="0"/>
                <w:sz w:val="20"/>
                <w:szCs w:val="20"/>
              </w:rPr>
            </w:pPr>
            <w:r>
              <w:rPr>
                <w:rFonts w:ascii="Times New Roman" w:hAnsi="Times New Roman" w:cs="Times New Roman"/>
                <w:i w:val="0"/>
                <w:iCs w:val="0"/>
                <w:kern w:val="0"/>
                <w:sz w:val="20"/>
                <w:szCs w:val="20"/>
              </w:rPr>
              <w:t>Compatible with the existing UE beam selection process</w:t>
            </w:r>
            <w:r>
              <w:rPr>
                <w:rFonts w:hint="eastAsia" w:ascii="Times New Roman" w:hAnsi="Times New Roman" w:cs="Times New Roman"/>
                <w:i w:val="0"/>
                <w:iCs w:val="0"/>
                <w:kern w:val="0"/>
                <w:sz w:val="20"/>
                <w:szCs w:val="20"/>
              </w:rPr>
              <w:t>, which is easy to implement for UE.</w:t>
            </w:r>
          </w:p>
          <w:p>
            <w:pPr>
              <w:widowControl/>
              <w:tabs>
                <w:tab w:val="center" w:pos="4819"/>
              </w:tabs>
              <w:spacing w:after="0" w:line="279" w:lineRule="auto"/>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 xml:space="preserve">No restriction to UE behavior, and no impacts on beam selection. </w:t>
            </w:r>
          </w:p>
        </w:tc>
        <w:tc>
          <w:tcPr>
            <w:tcW w:w="3808" w:type="dxa"/>
          </w:tcPr>
          <w:p>
            <w:pPr>
              <w:widowControl/>
              <w:numPr>
                <w:ilvl w:val="0"/>
                <w:numId w:val="18"/>
              </w:numPr>
              <w:tabs>
                <w:tab w:val="center" w:pos="4819"/>
              </w:tabs>
              <w:spacing w:after="0" w:line="279" w:lineRule="auto"/>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 xml:space="preserve">Provides no benefit for </w:t>
            </w:r>
            <w:bookmarkStart w:id="4" w:name="OLE_LINK3"/>
            <w:r>
              <w:rPr>
                <w:rFonts w:hint="eastAsia" w:ascii="Times New Roman" w:hAnsi="Times New Roman" w:cs="Times New Roman"/>
                <w:i w:val="0"/>
                <w:iCs w:val="0"/>
                <w:kern w:val="0"/>
                <w:sz w:val="20"/>
                <w:szCs w:val="20"/>
              </w:rPr>
              <w:t>only one single SSB beam</w:t>
            </w:r>
            <w:bookmarkEnd w:id="4"/>
            <w:r>
              <w:rPr>
                <w:rFonts w:hint="eastAsia" w:ascii="Times New Roman" w:hAnsi="Times New Roman" w:cs="Times New Roman"/>
                <w:i w:val="0"/>
                <w:iCs w:val="0"/>
                <w:kern w:val="0"/>
                <w:sz w:val="20"/>
                <w:szCs w:val="20"/>
              </w:rPr>
              <w:t xml:space="preserve"> per cell.</w:t>
            </w:r>
            <w:bookmarkStart w:id="5" w:name="OLE_LINK7"/>
            <w:r>
              <w:rPr>
                <w:rFonts w:hint="eastAsia" w:ascii="Times New Roman" w:hAnsi="Times New Roman" w:cs="Times New Roman"/>
                <w:i w:val="0"/>
                <w:iCs w:val="0"/>
                <w:kern w:val="0"/>
                <w:sz w:val="20"/>
                <w:szCs w:val="20"/>
              </w:rPr>
              <w:t xml:space="preserve"> </w:t>
            </w:r>
            <w:bookmarkEnd w:id="5"/>
          </w:p>
          <w:p>
            <w:pPr>
              <w:widowControl/>
              <w:numPr>
                <w:ilvl w:val="255"/>
                <w:numId w:val="0"/>
              </w:numPr>
              <w:tabs>
                <w:tab w:val="center" w:pos="4819"/>
              </w:tabs>
              <w:spacing w:after="0" w:line="279" w:lineRule="auto"/>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(2) In FR2 with 64 SSB indexes, may introduce signalling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222" w:type="dxa"/>
          </w:tcPr>
          <w:p>
            <w:pPr>
              <w:tabs>
                <w:tab w:val="center" w:pos="4819"/>
              </w:tabs>
              <w:spacing w:after="180"/>
              <w:rPr>
                <w:rFonts w:ascii="Times New Roman" w:hAnsi="Times New Roman" w:cs="Times New Roman"/>
                <w:i w:val="0"/>
                <w:iCs w:val="0"/>
                <w:strike/>
                <w:kern w:val="0"/>
                <w:sz w:val="20"/>
                <w:szCs w:val="20"/>
              </w:rPr>
            </w:pPr>
            <w:r>
              <w:rPr>
                <w:rFonts w:hint="eastAsia" w:ascii="Times New Roman" w:hAnsi="Times New Roman" w:cs="Times New Roman"/>
                <w:i w:val="0"/>
                <w:iCs w:val="0"/>
                <w:kern w:val="0"/>
                <w:sz w:val="20"/>
                <w:szCs w:val="20"/>
              </w:rPr>
              <w:t xml:space="preserve">Option 2: </w:t>
            </w:r>
          </w:p>
          <w:p>
            <w:pPr>
              <w:tabs>
                <w:tab w:val="center" w:pos="4819"/>
              </w:tabs>
              <w:spacing w:after="180"/>
              <w:rPr>
                <w:rFonts w:ascii="Times New Roman" w:hAnsi="Times New Roman" w:cs="Times New Roman"/>
                <w:i w:val="0"/>
                <w:iCs w:val="0"/>
                <w:kern w:val="0"/>
                <w:sz w:val="20"/>
                <w:szCs w:val="20"/>
              </w:rPr>
            </w:pPr>
            <w:bookmarkStart w:id="6" w:name="OLE_LINK18"/>
            <w:r>
              <w:rPr>
                <w:rFonts w:hint="eastAsia" w:ascii="Times New Roman" w:hAnsi="Times New Roman" w:cs="Times New Roman"/>
                <w:i w:val="0"/>
                <w:iCs w:val="0"/>
                <w:kern w:val="0"/>
                <w:sz w:val="20"/>
                <w:szCs w:val="20"/>
              </w:rPr>
              <w:t>Location-based solution</w:t>
            </w:r>
            <w:bookmarkEnd w:id="6"/>
          </w:p>
        </w:tc>
        <w:tc>
          <w:tcPr>
            <w:tcW w:w="3809" w:type="dxa"/>
          </w:tcPr>
          <w:p>
            <w:pPr>
              <w:numPr>
                <w:ilvl w:val="255"/>
                <w:numId w:val="0"/>
              </w:numPr>
              <w:tabs>
                <w:tab w:val="center" w:pos="4819"/>
              </w:tabs>
              <w:spacing w:after="0" w:line="279" w:lineRule="auto"/>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 xml:space="preserve">For regular-shaped cells where the </w:t>
            </w:r>
            <w:bookmarkStart w:id="7" w:name="OLE_LINK13"/>
            <w:r>
              <w:rPr>
                <w:rFonts w:hint="eastAsia" w:ascii="Times New Roman" w:hAnsi="Times New Roman" w:cs="Times New Roman"/>
                <w:i w:val="0"/>
                <w:iCs w:val="0"/>
                <w:kern w:val="0"/>
                <w:sz w:val="20"/>
                <w:szCs w:val="20"/>
              </w:rPr>
              <w:t xml:space="preserve">reference </w:t>
            </w:r>
            <w:bookmarkEnd w:id="7"/>
            <w:r>
              <w:rPr>
                <w:rFonts w:hint="eastAsia" w:ascii="Times New Roman" w:hAnsi="Times New Roman" w:cs="Times New Roman"/>
                <w:i w:val="0"/>
                <w:iCs w:val="0"/>
                <w:kern w:val="0"/>
                <w:sz w:val="20"/>
                <w:szCs w:val="20"/>
              </w:rPr>
              <w:t>location is the cell center, the network implementation is straightforward.</w:t>
            </w:r>
          </w:p>
        </w:tc>
        <w:tc>
          <w:tcPr>
            <w:tcW w:w="3808" w:type="dxa"/>
          </w:tcPr>
          <w:p>
            <w:pPr>
              <w:widowControl/>
              <w:numPr>
                <w:ilvl w:val="255"/>
                <w:numId w:val="0"/>
              </w:numPr>
              <w:tabs>
                <w:tab w:val="center" w:pos="4819"/>
              </w:tabs>
              <w:spacing w:after="0" w:line="279" w:lineRule="auto"/>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(1) UE need to support GNSS and enable GNSS measurement in the idle mode, which increases the power consumption and complexity of UE.</w:t>
            </w:r>
          </w:p>
          <w:p>
            <w:pPr>
              <w:widowControl/>
              <w:numPr>
                <w:ilvl w:val="255"/>
                <w:numId w:val="0"/>
              </w:numPr>
              <w:tabs>
                <w:tab w:val="center" w:pos="4819"/>
              </w:tabs>
              <w:spacing w:after="0" w:line="279" w:lineRule="auto"/>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(2) When the cells coverage is irregular, it is hard to define the reference location.</w:t>
            </w:r>
          </w:p>
          <w:p>
            <w:pPr>
              <w:widowControl/>
              <w:numPr>
                <w:ilvl w:val="255"/>
                <w:numId w:val="0"/>
              </w:numPr>
              <w:tabs>
                <w:tab w:val="center" w:pos="4819"/>
              </w:tabs>
              <w:spacing w:after="0" w:line="279" w:lineRule="auto"/>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(3) For the earth moving cell, UE needs to calculate multiple moving reference locations.</w:t>
            </w:r>
          </w:p>
          <w:p>
            <w:pPr>
              <w:widowControl/>
              <w:numPr>
                <w:ilvl w:val="255"/>
                <w:numId w:val="0"/>
              </w:numPr>
              <w:tabs>
                <w:tab w:val="center" w:pos="4819"/>
              </w:tabs>
              <w:spacing w:after="0" w:line="279" w:lineRule="auto"/>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(4) Multiple reference location and distance threshold (48+16 bits for each) introduce large signalling overhead in both FR1and FR2.</w:t>
            </w:r>
          </w:p>
        </w:tc>
      </w:tr>
    </w:tbl>
    <w:p>
      <w:pPr>
        <w:tabs>
          <w:tab w:val="center" w:pos="4819"/>
        </w:tabs>
        <w:spacing w:after="180"/>
        <w:jc w:val="both"/>
        <w:rPr>
          <w:rFonts w:ascii="Times New Roman" w:hAnsi="Times New Roman" w:cs="Times New Roman"/>
          <w:i w:val="0"/>
          <w:iCs w:val="0"/>
          <w:kern w:val="0"/>
          <w:sz w:val="20"/>
          <w:szCs w:val="20"/>
        </w:rPr>
      </w:pP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In terms of network deployment, both</w:t>
      </w:r>
      <w:r>
        <w:rPr>
          <w:rFonts w:hint="eastAsia" w:ascii="Times New Roman" w:hAnsi="Times New Roman" w:cs="Times New Roman"/>
          <w:b/>
          <w:bCs/>
          <w:i w:val="0"/>
          <w:iCs w:val="0"/>
          <w:kern w:val="0"/>
          <w:sz w:val="20"/>
          <w:szCs w:val="20"/>
        </w:rPr>
        <w:t xml:space="preserve"> </w:t>
      </w:r>
      <w:r>
        <w:rPr>
          <w:rFonts w:hint="eastAsia" w:ascii="Times New Roman" w:hAnsi="Times New Roman" w:cs="Times New Roman"/>
          <w:i w:val="0"/>
          <w:iCs w:val="0"/>
          <w:kern w:val="0"/>
          <w:sz w:val="20"/>
          <w:szCs w:val="20"/>
        </w:rPr>
        <w:t xml:space="preserve">one single beam per cell and multiple beams per cell are possible and need to be considered. </w:t>
      </w:r>
      <w:bookmarkStart w:id="8" w:name="OLE_LINK36"/>
      <w:r>
        <w:rPr>
          <w:rFonts w:ascii="Times New Roman" w:hAnsi="Times New Roman" w:cs="Times New Roman"/>
          <w:i w:val="0"/>
          <w:iCs w:val="0"/>
          <w:kern w:val="0"/>
          <w:sz w:val="20"/>
          <w:szCs w:val="20"/>
        </w:rPr>
        <w:t>One single beam per cell can allocate limited active beams to more cells, thereby enabling simultaneous activation of more cells</w:t>
      </w:r>
      <w:r>
        <w:rPr>
          <w:rFonts w:hint="eastAsia" w:ascii="Times New Roman" w:hAnsi="Times New Roman" w:cs="Times New Roman"/>
          <w:i w:val="0"/>
          <w:iCs w:val="0"/>
          <w:kern w:val="0"/>
          <w:sz w:val="20"/>
          <w:szCs w:val="20"/>
          <w:lang w:val="en-US" w:eastAsia="zh-CN"/>
        </w:rPr>
        <w:t>,</w:t>
      </w:r>
      <w:r>
        <w:rPr>
          <w:rFonts w:ascii="Times New Roman" w:hAnsi="Times New Roman" w:cs="Times New Roman"/>
          <w:i w:val="0"/>
          <w:iCs w:val="0"/>
          <w:kern w:val="0"/>
          <w:sz w:val="20"/>
          <w:szCs w:val="20"/>
        </w:rPr>
        <w:t xml:space="preserve"> so that network can employ the implementation method to configure no more than 4 SMTCs. </w:t>
      </w:r>
      <w:bookmarkEnd w:id="8"/>
      <w:r>
        <w:rPr>
          <w:rFonts w:hint="eastAsia" w:ascii="Times New Roman" w:hAnsi="Times New Roman" w:cs="Times New Roman"/>
          <w:i w:val="0"/>
          <w:iCs w:val="0"/>
          <w:kern w:val="0"/>
          <w:sz w:val="20"/>
          <w:szCs w:val="20"/>
        </w:rPr>
        <w:t xml:space="preserve">As for multiple beams per cell, SSB-based SMTC configuration can applied appropriately for UE measurement. </w:t>
      </w:r>
    </w:p>
    <w:p>
      <w:pPr>
        <w:tabs>
          <w:tab w:val="center" w:pos="4819"/>
        </w:tabs>
        <w:spacing w:after="180"/>
        <w:jc w:val="both"/>
        <w:rPr>
          <w:rFonts w:ascii="Times New Roman" w:hAnsi="Times New Roman" w:cs="Times New Roman"/>
          <w:b/>
          <w:i w:val="0"/>
          <w:iCs w:val="0"/>
          <w:kern w:val="0"/>
          <w:sz w:val="20"/>
          <w:szCs w:val="20"/>
        </w:rPr>
      </w:pPr>
      <w:r>
        <w:rPr>
          <w:rFonts w:hint="eastAsia" w:ascii="Times New Roman" w:hAnsi="Times New Roman" w:cs="Times New Roman"/>
          <w:b/>
          <w:i w:val="0"/>
          <w:iCs w:val="0"/>
          <w:kern w:val="0"/>
          <w:sz w:val="20"/>
          <w:szCs w:val="20"/>
        </w:rPr>
        <w:t xml:space="preserve">Observation 1: There is no need for SMTC enhancement in the case of one single beam per cell. SSB-based SMTC configuration can only applied in the case of multiple beams per cell. </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The benefit of SSB-based solution is that it can minimize the i</w:t>
      </w:r>
      <w:r>
        <w:rPr>
          <w:rFonts w:ascii="Times New Roman" w:hAnsi="Times New Roman" w:cs="Times New Roman"/>
          <w:i w:val="0"/>
          <w:iCs w:val="0"/>
          <w:kern w:val="0"/>
          <w:sz w:val="20"/>
          <w:szCs w:val="20"/>
        </w:rPr>
        <w:t>mpact on the terminal</w:t>
      </w:r>
      <w:r>
        <w:rPr>
          <w:rFonts w:hint="eastAsia" w:ascii="Times New Roman" w:hAnsi="Times New Roman" w:cs="Times New Roman"/>
          <w:i w:val="0"/>
          <w:iCs w:val="0"/>
          <w:kern w:val="0"/>
          <w:sz w:val="20"/>
          <w:szCs w:val="20"/>
        </w:rPr>
        <w:t xml:space="preserve">, as the UE will detect the SSB and calculate the SSB index anyway, which is a procedure that will definitely take place at the UE, and how the UE selects SSB beam depends on the UE implementation as legacy. Once a SSB in the serving cell is selected, then the UE simultaneously determine a SMTC configuration </w:t>
      </w:r>
      <w:bookmarkStart w:id="9" w:name="OLE_LINK9"/>
      <w:r>
        <w:rPr>
          <w:rFonts w:hint="eastAsia" w:ascii="Times New Roman" w:hAnsi="Times New Roman" w:cs="Times New Roman"/>
          <w:i w:val="0"/>
          <w:iCs w:val="0"/>
          <w:kern w:val="0"/>
          <w:sz w:val="20"/>
          <w:szCs w:val="20"/>
        </w:rPr>
        <w:t>corresponding to the SSB</w:t>
      </w:r>
      <w:bookmarkEnd w:id="9"/>
      <w:r>
        <w:rPr>
          <w:rFonts w:hint="eastAsia" w:ascii="Times New Roman" w:hAnsi="Times New Roman" w:cs="Times New Roman"/>
          <w:i w:val="0"/>
          <w:iCs w:val="0"/>
          <w:kern w:val="0"/>
          <w:sz w:val="20"/>
          <w:szCs w:val="20"/>
        </w:rPr>
        <w:t xml:space="preserve"> (i.e. the time domain occasion of SSB in the neighbour cell). W</w:t>
      </w:r>
      <w:r>
        <w:rPr>
          <w:rFonts w:ascii="Times New Roman" w:hAnsi="Times New Roman" w:cs="Times New Roman"/>
          <w:i w:val="0"/>
          <w:iCs w:val="0"/>
          <w:kern w:val="0"/>
          <w:sz w:val="20"/>
          <w:szCs w:val="20"/>
        </w:rPr>
        <w:t>hile</w:t>
      </w:r>
      <w:r>
        <w:rPr>
          <w:rFonts w:hint="eastAsia" w:ascii="Times New Roman" w:hAnsi="Times New Roman" w:cs="Times New Roman"/>
          <w:i w:val="0"/>
          <w:iCs w:val="0"/>
          <w:kern w:val="0"/>
          <w:sz w:val="20"/>
          <w:szCs w:val="20"/>
        </w:rPr>
        <w:t xml:space="preserve"> UE move to a new SSB beam, the UE can monitor another group of SMTC(s) corresponding to the new SSB UE select. How to select the SSB is depend on UE implementation, and UE behavior is the same as legacy.</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b/>
          <w:bCs/>
          <w:i w:val="0"/>
          <w:iCs w:val="0"/>
          <w:kern w:val="0"/>
          <w:sz w:val="20"/>
          <w:szCs w:val="20"/>
        </w:rPr>
        <w:t>Observation 2: Even the UE may at the edge of SSB or the overlapping area of SSBs, the UE can perform beam selection in a legacy way. Once a beam is selected, the associated SMTC of the serving cell SSB can be determined.</w:t>
      </w:r>
    </w:p>
    <w:p>
      <w:pPr>
        <w:tabs>
          <w:tab w:val="center" w:pos="4819"/>
        </w:tabs>
        <w:spacing w:after="180"/>
        <w:jc w:val="both"/>
        <w:rPr>
          <w:rFonts w:ascii="Times New Roman" w:hAnsi="Times New Roman" w:cs="Times New Roman"/>
          <w:i w:val="0"/>
          <w:iCs w:val="0"/>
          <w:kern w:val="0"/>
          <w:sz w:val="20"/>
          <w:szCs w:val="20"/>
        </w:rPr>
      </w:pPr>
      <w:bookmarkStart w:id="10" w:name="OLE_LINK11"/>
      <w:r>
        <w:rPr>
          <w:rFonts w:hint="eastAsia" w:ascii="Times New Roman" w:hAnsi="Times New Roman" w:cs="Times New Roman"/>
          <w:i w:val="0"/>
          <w:iCs w:val="0"/>
          <w:kern w:val="0"/>
          <w:sz w:val="20"/>
          <w:szCs w:val="20"/>
        </w:rPr>
        <w:t xml:space="preserve">Companies may also concern about the </w:t>
      </w:r>
      <w:bookmarkStart w:id="11" w:name="OLE_LINK12"/>
      <w:r>
        <w:rPr>
          <w:rFonts w:hint="eastAsia" w:ascii="Times New Roman" w:hAnsi="Times New Roman" w:cs="Times New Roman"/>
          <w:i w:val="0"/>
          <w:iCs w:val="0"/>
          <w:kern w:val="0"/>
          <w:sz w:val="20"/>
          <w:szCs w:val="20"/>
        </w:rPr>
        <w:t>relationship between SSB index and SMTC may change frequently</w:t>
      </w:r>
      <w:bookmarkEnd w:id="11"/>
      <w:r>
        <w:rPr>
          <w:rFonts w:hint="eastAsia" w:ascii="Times New Roman" w:hAnsi="Times New Roman" w:cs="Times New Roman"/>
          <w:i w:val="0"/>
          <w:iCs w:val="0"/>
          <w:kern w:val="0"/>
          <w:sz w:val="20"/>
          <w:szCs w:val="20"/>
        </w:rPr>
        <w:t>. From our point of view, firstly, the n</w:t>
      </w:r>
      <w:r>
        <w:rPr>
          <w:rFonts w:ascii="Times New Roman" w:hAnsi="Times New Roman" w:cs="Times New Roman"/>
          <w:i w:val="0"/>
          <w:iCs w:val="0"/>
          <w:kern w:val="0"/>
          <w:sz w:val="20"/>
          <w:szCs w:val="20"/>
        </w:rPr>
        <w:t>etwork topology and connection relationship</w:t>
      </w:r>
      <w:r>
        <w:rPr>
          <w:rFonts w:hint="eastAsia" w:ascii="Times New Roman" w:hAnsi="Times New Roman" w:cs="Times New Roman"/>
          <w:i w:val="0"/>
          <w:iCs w:val="0"/>
          <w:kern w:val="0"/>
          <w:sz w:val="20"/>
          <w:szCs w:val="20"/>
        </w:rPr>
        <w:t xml:space="preserve"> between serving cell and </w:t>
      </w:r>
      <w:bookmarkStart w:id="12" w:name="OLE_LINK10"/>
      <w:r>
        <w:rPr>
          <w:rFonts w:hint="eastAsia" w:ascii="Times New Roman" w:hAnsi="Times New Roman" w:cs="Times New Roman"/>
          <w:i w:val="0"/>
          <w:iCs w:val="0"/>
          <w:kern w:val="0"/>
          <w:sz w:val="20"/>
          <w:szCs w:val="20"/>
        </w:rPr>
        <w:t>neighbour cell</w:t>
      </w:r>
      <w:bookmarkEnd w:id="12"/>
      <w:r>
        <w:rPr>
          <w:rFonts w:hint="eastAsia" w:ascii="Times New Roman" w:hAnsi="Times New Roman" w:cs="Times New Roman"/>
          <w:i w:val="0"/>
          <w:iCs w:val="0"/>
          <w:kern w:val="0"/>
          <w:sz w:val="20"/>
          <w:szCs w:val="20"/>
        </w:rPr>
        <w:t xml:space="preserve"> won</w:t>
      </w:r>
      <w:r>
        <w:rPr>
          <w:rFonts w:ascii="Times New Roman" w:hAnsi="Times New Roman" w:cs="Times New Roman"/>
          <w:i w:val="0"/>
          <w:iCs w:val="0"/>
          <w:kern w:val="0"/>
          <w:sz w:val="20"/>
          <w:szCs w:val="20"/>
        </w:rPr>
        <w:t>’</w:t>
      </w:r>
      <w:r>
        <w:rPr>
          <w:rFonts w:hint="eastAsia" w:ascii="Times New Roman" w:hAnsi="Times New Roman" w:cs="Times New Roman"/>
          <w:i w:val="0"/>
          <w:iCs w:val="0"/>
          <w:kern w:val="0"/>
          <w:sz w:val="20"/>
          <w:szCs w:val="20"/>
        </w:rPr>
        <w:t xml:space="preserve">t change so frequently, NW deployment should avoid this unstable case. Otherwise, it will also lead to frequent changes of the neighboring cell, and the NW need to update the neighbour cell information frequently. In this case, relationship between SSB index/reference location and SMTC may both change frequently. </w:t>
      </w:r>
      <w:bookmarkEnd w:id="10"/>
      <w:r>
        <w:rPr>
          <w:rFonts w:hint="eastAsia" w:ascii="Times New Roman" w:hAnsi="Times New Roman" w:cs="Times New Roman"/>
          <w:i w:val="0"/>
          <w:iCs w:val="0"/>
          <w:kern w:val="0"/>
          <w:sz w:val="20"/>
          <w:szCs w:val="20"/>
        </w:rPr>
        <w:t xml:space="preserve">Secondly, during the time of satellite covering (i.e. within t-Service), the relationships between serving cell and neighboring cells are predictable and stable. While taking into account earth moving cell, the neighbour cells are moving together with the serving cell to maintain a relatively stable mapping, and SSB beam is not required to fix to a specific geographical area on the ground, which means the NW can configure a consistent SMTC for the UEs within the serving cell. </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 xml:space="preserve">Considering the singalling overhead of SSB-based solution, there are 2 </w:t>
      </w:r>
      <w:r>
        <w:rPr>
          <w:rFonts w:ascii="Times New Roman" w:hAnsi="Times New Roman" w:cs="Times New Roman"/>
          <w:i w:val="0"/>
          <w:iCs w:val="0"/>
          <w:kern w:val="0"/>
          <w:sz w:val="20"/>
          <w:szCs w:val="20"/>
        </w:rPr>
        <w:t>possible</w:t>
      </w:r>
      <w:r>
        <w:rPr>
          <w:rFonts w:hint="eastAsia" w:ascii="Times New Roman" w:hAnsi="Times New Roman" w:cs="Times New Roman"/>
          <w:i w:val="0"/>
          <w:iCs w:val="0"/>
          <w:kern w:val="0"/>
          <w:sz w:val="20"/>
          <w:szCs w:val="20"/>
        </w:rPr>
        <w:t xml:space="preserve"> methods of SMTC configurations:</w:t>
      </w:r>
      <w:bookmarkStart w:id="13" w:name="OLE_LINK17"/>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a) a SSB list with multiple SSBs configured for each SMTC</w:t>
      </w:r>
      <w:bookmarkEnd w:id="13"/>
      <w:r>
        <w:rPr>
          <w:rFonts w:hint="eastAsia" w:ascii="Times New Roman" w:hAnsi="Times New Roman" w:cs="Times New Roman"/>
          <w:i w:val="0"/>
          <w:iCs w:val="0"/>
          <w:kern w:val="0"/>
          <w:sz w:val="20"/>
          <w:szCs w:val="20"/>
        </w:rPr>
        <w:t>;</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b) a SMTC list with multiple SMTCs for each SSB.</w:t>
      </w:r>
    </w:p>
    <w:p>
      <w:pPr>
        <w:tabs>
          <w:tab w:val="center" w:pos="4819"/>
        </w:tabs>
        <w:spacing w:after="180"/>
        <w:jc w:val="both"/>
        <w:rPr>
          <w:rFonts w:ascii="Times New Roman" w:hAnsi="Times New Roman" w:cs="Times New Roman"/>
          <w:i w:val="0"/>
          <w:iCs w:val="0"/>
          <w:kern w:val="0"/>
          <w:sz w:val="20"/>
          <w:szCs w:val="20"/>
        </w:rPr>
      </w:pPr>
      <w:bookmarkStart w:id="14" w:name="OLE_LINK14"/>
      <w:r>
        <w:rPr>
          <w:rFonts w:hint="eastAsia" w:ascii="Times New Roman" w:hAnsi="Times New Roman" w:cs="Times New Roman"/>
          <w:i w:val="0"/>
          <w:iCs w:val="0"/>
          <w:kern w:val="0"/>
          <w:sz w:val="20"/>
          <w:szCs w:val="20"/>
        </w:rPr>
        <w:t xml:space="preserve">Even considering the </w:t>
      </w:r>
      <w:r>
        <w:rPr>
          <w:rFonts w:ascii="Times New Roman" w:hAnsi="Times New Roman" w:cs="Times New Roman"/>
          <w:i w:val="0"/>
          <w:iCs w:val="0"/>
          <w:kern w:val="0"/>
          <w:sz w:val="20"/>
          <w:szCs w:val="20"/>
        </w:rPr>
        <w:t>maximum number of SSB</w:t>
      </w:r>
      <w:r>
        <w:rPr>
          <w:rFonts w:hint="eastAsia" w:ascii="Times New Roman" w:hAnsi="Times New Roman" w:cs="Times New Roman"/>
          <w:i w:val="0"/>
          <w:iCs w:val="0"/>
          <w:kern w:val="0"/>
          <w:sz w:val="20"/>
          <w:szCs w:val="20"/>
        </w:rPr>
        <w:t xml:space="preserve"> index in FR2, additional 64 bits is required at most for SSB index indication in option a and additional 6 bits is required for SMTC indication. No matter which option is selected, the signalling overhead for SSB-based solution at least not more than location-based solution. </w:t>
      </w:r>
      <w:bookmarkEnd w:id="14"/>
      <w:r>
        <w:rPr>
          <w:rFonts w:hint="eastAsia" w:ascii="Times New Roman" w:hAnsi="Times New Roman" w:cs="Times New Roman"/>
          <w:i w:val="0"/>
          <w:iCs w:val="0"/>
          <w:kern w:val="0"/>
          <w:sz w:val="20"/>
          <w:szCs w:val="20"/>
        </w:rPr>
        <w:t xml:space="preserve">In the FR1 scenario, the SSB-based solution is more efficient in signalling overhead. </w:t>
      </w:r>
    </w:p>
    <w:p>
      <w:pPr>
        <w:tabs>
          <w:tab w:val="center" w:pos="4819"/>
        </w:tabs>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 xml:space="preserve">Observation 3: For SSB-based SMTC configuration, </w:t>
      </w:r>
      <w:r>
        <w:rPr>
          <w:rFonts w:ascii="Times New Roman" w:hAnsi="Times New Roman" w:cs="Times New Roman"/>
          <w:b/>
          <w:bCs/>
          <w:i w:val="0"/>
          <w:iCs w:val="0"/>
          <w:kern w:val="0"/>
          <w:sz w:val="20"/>
          <w:szCs w:val="20"/>
        </w:rPr>
        <w:t>a SSB list with multiple SSBs configured for each SMTC</w:t>
      </w:r>
      <w:r>
        <w:rPr>
          <w:rFonts w:hint="eastAsia" w:ascii="Times New Roman" w:hAnsi="Times New Roman" w:cs="Times New Roman"/>
          <w:b/>
          <w:bCs/>
          <w:i w:val="0"/>
          <w:iCs w:val="0"/>
          <w:kern w:val="0"/>
          <w:sz w:val="20"/>
          <w:szCs w:val="20"/>
        </w:rPr>
        <w:t xml:space="preserve"> is more reasonable. </w:t>
      </w:r>
    </w:p>
    <w:p>
      <w:pPr>
        <w:tabs>
          <w:tab w:val="center" w:pos="4819"/>
        </w:tabs>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Proposal 1</w:t>
      </w:r>
      <w:r>
        <w:rPr>
          <w:rFonts w:hint="eastAsia" w:ascii="Times New Roman" w:hAnsi="Times New Roman" w:cs="Times New Roman"/>
          <w:b/>
          <w:i w:val="0"/>
          <w:iCs w:val="0"/>
          <w:kern w:val="0"/>
          <w:sz w:val="20"/>
          <w:szCs w:val="20"/>
          <w:lang w:val="en-GB"/>
        </w:rPr>
        <w:t xml:space="preserve">: </w:t>
      </w:r>
      <w:r>
        <w:rPr>
          <w:rFonts w:hint="eastAsia" w:ascii="Times New Roman" w:hAnsi="Times New Roman" w:cs="Times New Roman"/>
          <w:b/>
          <w:i w:val="0"/>
          <w:iCs w:val="0"/>
          <w:kern w:val="0"/>
          <w:sz w:val="20"/>
          <w:szCs w:val="20"/>
        </w:rPr>
        <w:t xml:space="preserve">RAN2 to introduce SSB-based solution for SMTC enhancement in RRC_Idle/Inactive. </w:t>
      </w:r>
    </w:p>
    <w:p>
      <w:pPr>
        <w:tabs>
          <w:tab w:val="center" w:pos="4819"/>
        </w:tabs>
        <w:spacing w:after="180"/>
        <w:jc w:val="both"/>
        <w:rPr>
          <w:rFonts w:ascii="Times New Roman" w:hAnsi="Times New Roman" w:cs="Times New Roman"/>
          <w:b/>
          <w:i w:val="0"/>
          <w:iCs w:val="0"/>
          <w:kern w:val="0"/>
          <w:sz w:val="20"/>
          <w:szCs w:val="20"/>
          <w:u w:val="single"/>
        </w:rPr>
      </w:pPr>
      <w:bookmarkStart w:id="15" w:name="OLE_LINK4"/>
      <w:r>
        <w:rPr>
          <w:rFonts w:hint="eastAsia" w:ascii="Times New Roman" w:hAnsi="Times New Roman" w:cs="Times New Roman"/>
          <w:b/>
          <w:i w:val="0"/>
          <w:iCs w:val="0"/>
          <w:kern w:val="0"/>
          <w:sz w:val="20"/>
          <w:szCs w:val="20"/>
          <w:u w:val="single"/>
          <w:lang w:val="en-GB"/>
        </w:rPr>
        <w:t>2</w:t>
      </w:r>
      <w:r>
        <w:rPr>
          <w:rFonts w:ascii="Times New Roman" w:hAnsi="Times New Roman" w:cs="Times New Roman"/>
          <w:b/>
          <w:i w:val="0"/>
          <w:iCs w:val="0"/>
          <w:kern w:val="0"/>
          <w:sz w:val="20"/>
          <w:szCs w:val="20"/>
          <w:u w:val="single"/>
          <w:lang w:val="en-GB"/>
        </w:rPr>
        <w:t>.</w:t>
      </w:r>
      <w:r>
        <w:rPr>
          <w:rFonts w:hint="eastAsia" w:ascii="Times New Roman" w:hAnsi="Times New Roman" w:cs="Times New Roman"/>
          <w:b/>
          <w:i w:val="0"/>
          <w:iCs w:val="0"/>
          <w:kern w:val="0"/>
          <w:sz w:val="20"/>
          <w:szCs w:val="20"/>
          <w:u w:val="single"/>
        </w:rPr>
        <w:t>2</w:t>
      </w:r>
      <w:r>
        <w:rPr>
          <w:rFonts w:ascii="Times New Roman" w:hAnsi="Times New Roman" w:cs="Times New Roman"/>
          <w:b/>
          <w:i w:val="0"/>
          <w:iCs w:val="0"/>
          <w:kern w:val="0"/>
          <w:sz w:val="20"/>
          <w:szCs w:val="20"/>
          <w:u w:val="single"/>
          <w:lang w:val="en-GB"/>
        </w:rPr>
        <w:t xml:space="preserve"> </w:t>
      </w:r>
      <w:r>
        <w:rPr>
          <w:rFonts w:hint="eastAsia" w:ascii="Times New Roman" w:hAnsi="Times New Roman" w:cs="Times New Roman"/>
          <w:b/>
          <w:i w:val="0"/>
          <w:iCs w:val="0"/>
          <w:kern w:val="0"/>
          <w:sz w:val="20"/>
          <w:szCs w:val="20"/>
          <w:u w:val="single"/>
        </w:rPr>
        <w:t>SMTC/</w:t>
      </w:r>
      <w:bookmarkStart w:id="16" w:name="OLE_LINK22"/>
      <w:r>
        <w:rPr>
          <w:rFonts w:hint="eastAsia" w:ascii="Times New Roman" w:hAnsi="Times New Roman" w:cs="Times New Roman"/>
          <w:b/>
          <w:i w:val="0"/>
          <w:iCs w:val="0"/>
          <w:kern w:val="0"/>
          <w:sz w:val="20"/>
          <w:szCs w:val="20"/>
          <w:u w:val="single"/>
        </w:rPr>
        <w:t xml:space="preserve">measure </w:t>
      </w:r>
      <w:bookmarkEnd w:id="16"/>
      <w:r>
        <w:rPr>
          <w:rFonts w:hint="eastAsia" w:ascii="Times New Roman" w:hAnsi="Times New Roman" w:cs="Times New Roman"/>
          <w:b/>
          <w:i w:val="0"/>
          <w:iCs w:val="0"/>
          <w:kern w:val="0"/>
          <w:sz w:val="20"/>
          <w:szCs w:val="20"/>
          <w:u w:val="single"/>
        </w:rPr>
        <w:t>gap enhancements in RRC_CONNECTED</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 xml:space="preserve">For intra-frequency </w:t>
      </w:r>
      <w:bookmarkStart w:id="17" w:name="_Hlk196432112"/>
      <w:r>
        <w:rPr>
          <w:rFonts w:hint="eastAsia" w:ascii="Times New Roman" w:hAnsi="Times New Roman" w:cs="Times New Roman"/>
          <w:i w:val="0"/>
          <w:iCs w:val="0"/>
          <w:kern w:val="0"/>
          <w:sz w:val="20"/>
          <w:szCs w:val="20"/>
        </w:rPr>
        <w:t>and inter-frequency</w:t>
      </w:r>
      <w:bookmarkEnd w:id="17"/>
      <w:r>
        <w:rPr>
          <w:rFonts w:hint="eastAsia" w:ascii="Times New Roman" w:hAnsi="Times New Roman" w:cs="Times New Roman"/>
          <w:i w:val="0"/>
          <w:iCs w:val="0"/>
          <w:kern w:val="0"/>
          <w:sz w:val="20"/>
          <w:szCs w:val="20"/>
        </w:rPr>
        <w:t>, the NW is aware of which beam the UE is utilizing for data transmission. This enables the NW to determine which neighboring cell is closer to the UE. B</w:t>
      </w:r>
      <w:bookmarkStart w:id="18" w:name="OLE_LINK5"/>
      <w:r>
        <w:rPr>
          <w:rFonts w:hint="eastAsia" w:ascii="Times New Roman" w:hAnsi="Times New Roman" w:cs="Times New Roman"/>
          <w:i w:val="0"/>
          <w:iCs w:val="0"/>
          <w:kern w:val="0"/>
          <w:sz w:val="20"/>
          <w:szCs w:val="20"/>
        </w:rPr>
        <w:t>y utilizing the beam management results, the 4 SMTCs in existing spec should be sufficient (i.e. no need to configure more than 4)</w:t>
      </w:r>
      <w:bookmarkEnd w:id="18"/>
      <w:r>
        <w:rPr>
          <w:rFonts w:hint="eastAsia" w:ascii="Times New Roman" w:hAnsi="Times New Roman" w:cs="Times New Roman"/>
          <w:i w:val="0"/>
          <w:iCs w:val="0"/>
          <w:kern w:val="0"/>
          <w:sz w:val="20"/>
          <w:szCs w:val="20"/>
        </w:rPr>
        <w:t>.</w:t>
      </w:r>
    </w:p>
    <w:p>
      <w:pPr>
        <w:tabs>
          <w:tab w:val="center" w:pos="4819"/>
        </w:tabs>
        <w:spacing w:after="180"/>
        <w:jc w:val="both"/>
        <w:rPr>
          <w:rFonts w:ascii="Times New Roman" w:hAnsi="Times New Roman" w:cs="Times New Roman"/>
          <w:b/>
          <w:bCs/>
          <w:i w:val="0"/>
          <w:iCs w:val="0"/>
          <w:kern w:val="0"/>
          <w:sz w:val="20"/>
          <w:szCs w:val="20"/>
        </w:rPr>
      </w:pPr>
      <w:r>
        <w:rPr>
          <w:rFonts w:ascii="Times New Roman" w:hAnsi="Times New Roman" w:cs="Times New Roman"/>
          <w:b/>
          <w:bCs/>
          <w:i w:val="0"/>
          <w:iCs w:val="0"/>
          <w:kern w:val="0"/>
          <w:sz w:val="20"/>
          <w:szCs w:val="20"/>
        </w:rPr>
        <w:t>Observatio</w:t>
      </w:r>
      <w:r>
        <w:rPr>
          <w:rFonts w:hint="eastAsia" w:ascii="Times New Roman" w:hAnsi="Times New Roman" w:cs="Times New Roman"/>
          <w:b/>
          <w:bCs/>
          <w:i w:val="0"/>
          <w:iCs w:val="0"/>
          <w:kern w:val="0"/>
          <w:sz w:val="20"/>
          <w:szCs w:val="20"/>
        </w:rPr>
        <w:t>n</w:t>
      </w:r>
      <w:r>
        <w:rPr>
          <w:rFonts w:ascii="Times New Roman" w:hAnsi="Times New Roman" w:cs="Times New Roman"/>
          <w:b/>
          <w:bCs/>
          <w:i w:val="0"/>
          <w:iCs w:val="0"/>
          <w:kern w:val="0"/>
          <w:sz w:val="20"/>
          <w:szCs w:val="20"/>
        </w:rPr>
        <w:t xml:space="preserve"> </w:t>
      </w:r>
      <w:r>
        <w:rPr>
          <w:rFonts w:hint="eastAsia" w:ascii="Times New Roman" w:hAnsi="Times New Roman" w:cs="Times New Roman"/>
          <w:b/>
          <w:bCs/>
          <w:i w:val="0"/>
          <w:iCs w:val="0"/>
          <w:kern w:val="0"/>
          <w:sz w:val="20"/>
          <w:szCs w:val="20"/>
        </w:rPr>
        <w:t>4</w:t>
      </w:r>
      <w:r>
        <w:rPr>
          <w:rFonts w:ascii="Times New Roman" w:hAnsi="Times New Roman" w:cs="Times New Roman"/>
          <w:b/>
          <w:bCs/>
          <w:i w:val="0"/>
          <w:iCs w:val="0"/>
          <w:kern w:val="0"/>
          <w:sz w:val="20"/>
          <w:szCs w:val="20"/>
        </w:rPr>
        <w:t>:</w:t>
      </w:r>
      <w:r>
        <w:rPr>
          <w:rFonts w:hint="eastAsia" w:ascii="Times New Roman" w:hAnsi="Times New Roman" w:cs="Times New Roman"/>
          <w:b/>
          <w:bCs/>
          <w:i w:val="0"/>
          <w:iCs w:val="0"/>
          <w:kern w:val="0"/>
          <w:sz w:val="20"/>
          <w:szCs w:val="20"/>
        </w:rPr>
        <w:t xml:space="preserve"> </w:t>
      </w:r>
      <w:r>
        <w:rPr>
          <w:rFonts w:ascii="Times New Roman" w:hAnsi="Times New Roman" w:cs="Times New Roman"/>
          <w:b/>
          <w:bCs/>
          <w:i w:val="0"/>
          <w:iCs w:val="0"/>
          <w:kern w:val="0"/>
          <w:sz w:val="20"/>
          <w:szCs w:val="20"/>
        </w:rPr>
        <w:t>For intra-frequency</w:t>
      </w:r>
      <w:r>
        <w:rPr>
          <w:rFonts w:hint="eastAsia" w:ascii="Times New Roman" w:hAnsi="Times New Roman" w:cs="Times New Roman"/>
          <w:b/>
          <w:bCs/>
          <w:i w:val="0"/>
          <w:iCs w:val="0"/>
          <w:kern w:val="0"/>
          <w:sz w:val="20"/>
          <w:szCs w:val="20"/>
        </w:rPr>
        <w:t xml:space="preserve"> </w:t>
      </w:r>
      <w:r>
        <w:rPr>
          <w:rFonts w:ascii="Times New Roman" w:hAnsi="Times New Roman" w:cs="Times New Roman"/>
          <w:b/>
          <w:bCs/>
          <w:i w:val="0"/>
          <w:iCs w:val="0"/>
          <w:kern w:val="0"/>
          <w:sz w:val="20"/>
          <w:szCs w:val="20"/>
        </w:rPr>
        <w:t>and inter-frequency,</w:t>
      </w:r>
      <w:r>
        <w:rPr>
          <w:rFonts w:hint="eastAsia" w:ascii="Times New Roman" w:hAnsi="Times New Roman" w:cs="Times New Roman"/>
          <w:b/>
          <w:bCs/>
          <w:i w:val="0"/>
          <w:iCs w:val="0"/>
          <w:kern w:val="0"/>
          <w:sz w:val="20"/>
          <w:szCs w:val="20"/>
        </w:rPr>
        <w:t xml:space="preserve"> by utilizing the beam management results, the 4 SMTCs in existing spec should be sufficient (i.e. no need to configure more than 4)</w:t>
      </w:r>
      <w:r>
        <w:rPr>
          <w:rFonts w:hint="eastAsia" w:ascii="Times New Roman" w:hAnsi="Times New Roman" w:cs="Times New Roman"/>
          <w:b/>
          <w:bCs/>
          <w:i w:val="0"/>
          <w:iCs w:val="0"/>
          <w:strike w:val="0"/>
          <w:kern w:val="0"/>
          <w:sz w:val="20"/>
          <w:szCs w:val="20"/>
          <w:lang w:val="en-US" w:eastAsia="zh-CN"/>
        </w:rPr>
        <w:t xml:space="preserve"> </w:t>
      </w:r>
      <w:r>
        <w:rPr>
          <w:rFonts w:ascii="Times New Roman" w:hAnsi="Times New Roman" w:cs="Times New Roman"/>
          <w:b/>
          <w:bCs/>
          <w:i w:val="0"/>
          <w:iCs w:val="0"/>
          <w:kern w:val="0"/>
          <w:sz w:val="20"/>
          <w:szCs w:val="20"/>
        </w:rPr>
        <w:t xml:space="preserve">for UE measurement in RRC_CONNECTED. </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 xml:space="preserve">However, the configured 4 SMTCs may not be optimal from UE perspective. </w:t>
      </w:r>
      <w:r>
        <w:rPr>
          <w:rFonts w:ascii="Times New Roman" w:hAnsi="Times New Roman" w:cs="Times New Roman"/>
          <w:i w:val="0"/>
          <w:iCs w:val="0"/>
          <w:kern w:val="0"/>
          <w:sz w:val="20"/>
          <w:szCs w:val="20"/>
        </w:rPr>
        <w:t>The situation of inter-frequency is more complicated</w:t>
      </w:r>
      <w:r>
        <w:rPr>
          <w:rFonts w:hint="eastAsia" w:ascii="Times New Roman" w:hAnsi="Times New Roman" w:cs="Times New Roman"/>
          <w:i w:val="0"/>
          <w:iCs w:val="0"/>
          <w:kern w:val="0"/>
          <w:sz w:val="20"/>
          <w:szCs w:val="20"/>
        </w:rPr>
        <w:t xml:space="preserve">. </w:t>
      </w:r>
      <w:r>
        <w:rPr>
          <w:rFonts w:ascii="Times New Roman" w:hAnsi="Times New Roman" w:cs="Times New Roman"/>
          <w:i w:val="0"/>
          <w:iCs w:val="0"/>
          <w:kern w:val="0"/>
          <w:sz w:val="20"/>
          <w:szCs w:val="20"/>
          <w:lang w:eastAsia="ja-JP"/>
        </w:rPr>
        <w:t>The</w:t>
      </w:r>
      <w:r>
        <w:rPr>
          <w:rFonts w:hint="eastAsia" w:ascii="Times New Roman" w:hAnsi="Times New Roman" w:cs="Times New Roman"/>
          <w:i w:val="0"/>
          <w:iCs w:val="0"/>
          <w:kern w:val="0"/>
          <w:sz w:val="20"/>
          <w:szCs w:val="20"/>
        </w:rPr>
        <w:t xml:space="preserve"> implementation of</w:t>
      </w:r>
      <w:r>
        <w:rPr>
          <w:rFonts w:ascii="Times New Roman" w:hAnsi="Times New Roman" w:cs="Times New Roman"/>
          <w:i w:val="0"/>
          <w:iCs w:val="0"/>
          <w:kern w:val="0"/>
          <w:sz w:val="20"/>
          <w:szCs w:val="20"/>
          <w:lang w:eastAsia="ja-JP"/>
        </w:rPr>
        <w:t xml:space="preserve"> </w:t>
      </w:r>
      <w:r>
        <w:rPr>
          <w:rFonts w:hint="eastAsia" w:ascii="Times New Roman" w:hAnsi="Times New Roman" w:cs="Times New Roman"/>
          <w:i w:val="0"/>
          <w:iCs w:val="0"/>
          <w:kern w:val="0"/>
          <w:sz w:val="20"/>
          <w:szCs w:val="20"/>
        </w:rPr>
        <w:t xml:space="preserve">SMTC and </w:t>
      </w:r>
      <w:r>
        <w:rPr>
          <w:rFonts w:ascii="Times New Roman" w:hAnsi="Times New Roman" w:cs="Times New Roman"/>
          <w:i w:val="0"/>
          <w:iCs w:val="0"/>
          <w:kern w:val="0"/>
          <w:sz w:val="20"/>
          <w:szCs w:val="20"/>
        </w:rPr>
        <w:t>measure</w:t>
      </w:r>
      <w:r>
        <w:rPr>
          <w:rFonts w:hint="eastAsia" w:ascii="Times New Roman" w:hAnsi="Times New Roman" w:cs="Times New Roman"/>
          <w:i w:val="0"/>
          <w:iCs w:val="0"/>
          <w:kern w:val="0"/>
          <w:sz w:val="20"/>
          <w:szCs w:val="20"/>
        </w:rPr>
        <w:t>ment</w:t>
      </w:r>
      <w:r>
        <w:rPr>
          <w:rFonts w:ascii="Times New Roman" w:hAnsi="Times New Roman" w:cs="Times New Roman"/>
          <w:i w:val="0"/>
          <w:iCs w:val="0"/>
          <w:kern w:val="0"/>
          <w:sz w:val="20"/>
          <w:szCs w:val="20"/>
        </w:rPr>
        <w:t xml:space="preserve"> </w:t>
      </w:r>
      <w:r>
        <w:rPr>
          <w:rFonts w:hint="eastAsia" w:ascii="Times New Roman" w:hAnsi="Times New Roman" w:cs="Times New Roman"/>
          <w:i w:val="0"/>
          <w:iCs w:val="0"/>
          <w:kern w:val="0"/>
          <w:sz w:val="20"/>
          <w:szCs w:val="20"/>
        </w:rPr>
        <w:t>gap</w:t>
      </w:r>
      <w:r>
        <w:rPr>
          <w:rFonts w:ascii="Times New Roman" w:hAnsi="Times New Roman" w:cs="Times New Roman"/>
          <w:i w:val="0"/>
          <w:iCs w:val="0"/>
          <w:kern w:val="0"/>
          <w:sz w:val="20"/>
          <w:szCs w:val="20"/>
          <w:lang w:eastAsia="ja-JP"/>
        </w:rPr>
        <w:t xml:space="preserve"> </w:t>
      </w:r>
      <w:r>
        <w:rPr>
          <w:rFonts w:hint="eastAsia" w:ascii="Times New Roman" w:hAnsi="Times New Roman" w:cs="Times New Roman"/>
          <w:i w:val="0"/>
          <w:iCs w:val="0"/>
          <w:kern w:val="0"/>
          <w:sz w:val="20"/>
          <w:szCs w:val="20"/>
          <w:lang w:eastAsia="ja-JP"/>
        </w:rPr>
        <w:t>in CONNECTED</w:t>
      </w:r>
      <w:r>
        <w:rPr>
          <w:rFonts w:hint="eastAsia" w:ascii="Times New Roman" w:hAnsi="Times New Roman" w:cs="Times New Roman"/>
          <w:i w:val="0"/>
          <w:iCs w:val="0"/>
          <w:kern w:val="0"/>
          <w:sz w:val="20"/>
          <w:szCs w:val="20"/>
        </w:rPr>
        <w:t xml:space="preserve"> state </w:t>
      </w:r>
      <w:r>
        <w:rPr>
          <w:rFonts w:ascii="Times New Roman" w:hAnsi="Times New Roman" w:cs="Times New Roman"/>
          <w:i w:val="0"/>
          <w:iCs w:val="0"/>
          <w:kern w:val="0"/>
          <w:sz w:val="20"/>
          <w:szCs w:val="20"/>
          <w:lang w:eastAsia="ja-JP"/>
        </w:rPr>
        <w:t xml:space="preserve">not only </w:t>
      </w:r>
      <w:r>
        <w:rPr>
          <w:rFonts w:hint="eastAsia" w:ascii="Times New Roman" w:hAnsi="Times New Roman" w:cs="Times New Roman"/>
          <w:i w:val="0"/>
          <w:iCs w:val="0"/>
          <w:kern w:val="0"/>
          <w:sz w:val="20"/>
          <w:szCs w:val="20"/>
        </w:rPr>
        <w:t>dis</w:t>
      </w:r>
      <w:r>
        <w:rPr>
          <w:rFonts w:ascii="Times New Roman" w:hAnsi="Times New Roman" w:cs="Times New Roman"/>
          <w:i w:val="0"/>
          <w:iCs w:val="0"/>
          <w:kern w:val="0"/>
          <w:sz w:val="20"/>
          <w:szCs w:val="20"/>
          <w:lang w:eastAsia="ja-JP"/>
        </w:rPr>
        <w:t>rupt</w:t>
      </w:r>
      <w:r>
        <w:rPr>
          <w:rFonts w:hint="eastAsia" w:ascii="Times New Roman" w:hAnsi="Times New Roman" w:cs="Times New Roman"/>
          <w:i w:val="0"/>
          <w:iCs w:val="0"/>
          <w:kern w:val="0"/>
          <w:sz w:val="20"/>
          <w:szCs w:val="20"/>
        </w:rPr>
        <w:t>s</w:t>
      </w:r>
      <w:r>
        <w:rPr>
          <w:rFonts w:ascii="Times New Roman" w:hAnsi="Times New Roman" w:cs="Times New Roman"/>
          <w:i w:val="0"/>
          <w:iCs w:val="0"/>
          <w:kern w:val="0"/>
          <w:sz w:val="20"/>
          <w:szCs w:val="20"/>
          <w:lang w:eastAsia="ja-JP"/>
        </w:rPr>
        <w:t xml:space="preserve"> data transmission</w:t>
      </w:r>
      <w:r>
        <w:rPr>
          <w:rFonts w:hint="eastAsia" w:ascii="Times New Roman" w:hAnsi="Times New Roman" w:cs="Times New Roman"/>
          <w:i w:val="0"/>
          <w:iCs w:val="0"/>
          <w:kern w:val="0"/>
          <w:sz w:val="20"/>
          <w:szCs w:val="20"/>
        </w:rPr>
        <w:t xml:space="preserve"> continuity</w:t>
      </w:r>
      <w:r>
        <w:rPr>
          <w:rFonts w:ascii="Times New Roman" w:hAnsi="Times New Roman" w:cs="Times New Roman"/>
          <w:i w:val="0"/>
          <w:iCs w:val="0"/>
          <w:kern w:val="0"/>
          <w:sz w:val="20"/>
          <w:szCs w:val="20"/>
          <w:lang w:eastAsia="ja-JP"/>
        </w:rPr>
        <w:t xml:space="preserve"> in the serving cell but also in</w:t>
      </w:r>
      <w:r>
        <w:rPr>
          <w:rFonts w:hint="eastAsia" w:ascii="Times New Roman" w:hAnsi="Times New Roman" w:cs="Times New Roman"/>
          <w:i w:val="0"/>
          <w:iCs w:val="0"/>
          <w:kern w:val="0"/>
          <w:sz w:val="20"/>
          <w:szCs w:val="20"/>
        </w:rPr>
        <w:t>troduces</w:t>
      </w:r>
      <w:r>
        <w:rPr>
          <w:rFonts w:ascii="Times New Roman" w:hAnsi="Times New Roman" w:cs="Times New Roman"/>
          <w:i w:val="0"/>
          <w:iCs w:val="0"/>
          <w:kern w:val="0"/>
          <w:sz w:val="20"/>
          <w:szCs w:val="20"/>
          <w:lang w:eastAsia="ja-JP"/>
        </w:rPr>
        <w:t xml:space="preserve"> scheduling </w:t>
      </w:r>
      <w:r>
        <w:rPr>
          <w:rFonts w:hint="eastAsia" w:ascii="Times New Roman" w:hAnsi="Times New Roman" w:cs="Times New Roman"/>
          <w:i w:val="0"/>
          <w:iCs w:val="0"/>
          <w:kern w:val="0"/>
          <w:sz w:val="20"/>
          <w:szCs w:val="20"/>
        </w:rPr>
        <w:t xml:space="preserve">restriction and </w:t>
      </w:r>
      <w:r>
        <w:rPr>
          <w:rFonts w:ascii="Times New Roman" w:hAnsi="Times New Roman" w:cs="Times New Roman"/>
          <w:i w:val="0"/>
          <w:iCs w:val="0"/>
          <w:kern w:val="0"/>
          <w:sz w:val="20"/>
          <w:szCs w:val="20"/>
          <w:lang w:eastAsia="ja-JP"/>
        </w:rPr>
        <w:t xml:space="preserve">complexity at the gNB. </w:t>
      </w:r>
      <w:r>
        <w:rPr>
          <w:rFonts w:hint="eastAsia" w:ascii="Times New Roman" w:hAnsi="Times New Roman" w:cs="Times New Roman"/>
          <w:i w:val="0"/>
          <w:iCs w:val="0"/>
          <w:kern w:val="0"/>
          <w:sz w:val="20"/>
          <w:szCs w:val="20"/>
        </w:rPr>
        <w:t>Therefore, ineffective SMTC and gap configuration should be avoided. There are two main scenarios: inter-frequency contiguous coverage (case 1) or overlapping coverage (case 2) shown in Figure 1. Beam footprints and coverage may show obvious variations in different frequency bands cells.</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 xml:space="preserve">As shown in the Figure 1, if the gNB unaware of the UE's location, the majority of SMTC and gap parameters configured for the UE will become inaccurate, which will lead to unnecessary interruption of data transmission. More seriously, the number of gaps a UE needs to consider will more than 2, which contradicts the specification. </w:t>
      </w:r>
    </w:p>
    <w:p>
      <w:pPr>
        <w:tabs>
          <w:tab w:val="center" w:pos="4819"/>
        </w:tabs>
        <w:spacing w:after="180"/>
        <w:rPr>
          <w:rFonts w:ascii="Times New Roman" w:hAnsi="Times New Roman" w:cs="Times New Roman"/>
          <w:b/>
          <w:i w:val="0"/>
          <w:iCs w:val="0"/>
          <w:kern w:val="0"/>
          <w:sz w:val="20"/>
          <w:szCs w:val="20"/>
          <w:u w:val="single"/>
        </w:rPr>
      </w:pPr>
      <w:r>
        <w:rPr>
          <w:i w:val="0"/>
          <w:iCs w:val="0"/>
        </w:rPr>
        <w:drawing>
          <wp:inline distT="0" distB="0" distL="114300" distR="114300">
            <wp:extent cx="6117590" cy="4009390"/>
            <wp:effectExtent l="0" t="0" r="3175" b="635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8"/>
                    <a:stretch>
                      <a:fillRect/>
                    </a:stretch>
                  </pic:blipFill>
                  <pic:spPr>
                    <a:xfrm>
                      <a:off x="0" y="0"/>
                      <a:ext cx="6117590" cy="4009390"/>
                    </a:xfrm>
                    <a:prstGeom prst="rect">
                      <a:avLst/>
                    </a:prstGeom>
                    <a:noFill/>
                    <a:ln>
                      <a:noFill/>
                    </a:ln>
                  </pic:spPr>
                </pic:pic>
              </a:graphicData>
            </a:graphic>
          </wp:inline>
        </w:drawing>
      </w:r>
    </w:p>
    <w:p>
      <w:pPr>
        <w:tabs>
          <w:tab w:val="center" w:pos="4819"/>
        </w:tabs>
        <w:spacing w:after="180"/>
        <w:jc w:val="center"/>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 xml:space="preserve">Figure 1 different UE with different </w:t>
      </w:r>
      <w:r>
        <w:rPr>
          <w:rFonts w:hint="eastAsia" w:ascii="Times New Roman" w:hAnsi="Times New Roman" w:cs="Times New Roman"/>
          <w:i w:val="0"/>
          <w:iCs w:val="0"/>
          <w:kern w:val="0"/>
          <w:sz w:val="20"/>
          <w:szCs w:val="20"/>
          <w:lang w:eastAsia="ja-JP"/>
        </w:rPr>
        <w:t>detectable</w:t>
      </w:r>
      <w:r>
        <w:rPr>
          <w:rFonts w:hint="eastAsia" w:ascii="Times New Roman" w:hAnsi="Times New Roman" w:cs="Times New Roman"/>
          <w:i w:val="0"/>
          <w:iCs w:val="0"/>
          <w:kern w:val="0"/>
          <w:sz w:val="20"/>
          <w:szCs w:val="20"/>
        </w:rPr>
        <w:t xml:space="preserve"> SSB</w:t>
      </w:r>
    </w:p>
    <w:p>
      <w:pPr>
        <w:tabs>
          <w:tab w:val="center" w:pos="4819"/>
        </w:tabs>
        <w:spacing w:after="180"/>
        <w:jc w:val="both"/>
        <w:rPr>
          <w:rFonts w:ascii="Times New Roman" w:hAnsi="Times New Roman" w:cs="Times New Roman"/>
          <w:b/>
          <w:bCs/>
          <w:i w:val="0"/>
          <w:iCs w:val="0"/>
          <w:kern w:val="0"/>
          <w:sz w:val="20"/>
          <w:szCs w:val="20"/>
        </w:rPr>
      </w:pPr>
      <w:bookmarkStart w:id="19" w:name="OLE_LINK24"/>
      <w:r>
        <w:rPr>
          <w:rFonts w:hint="eastAsia" w:ascii="Times New Roman" w:hAnsi="Times New Roman" w:cs="Times New Roman"/>
          <w:b/>
          <w:bCs/>
          <w:i w:val="0"/>
          <w:iCs w:val="0"/>
          <w:kern w:val="0"/>
          <w:sz w:val="20"/>
          <w:szCs w:val="20"/>
        </w:rPr>
        <w:t xml:space="preserve">Observation 5: For inter-frequency, the inaccurate configuration of SMTC and gap becomes increasingly challenging in RRC_CONNECTED. </w:t>
      </w:r>
    </w:p>
    <w:bookmarkEnd w:id="19"/>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The Figure 2 below shown the typical triggered condition for Event D1 and Event D2: the green crescent-shaped section represents the area satisfying the entering condition, while the blue section represents the area satisfying the leaving condition.</w:t>
      </w:r>
    </w:p>
    <w:p>
      <w:pPr>
        <w:tabs>
          <w:tab w:val="center" w:pos="4819"/>
        </w:tabs>
        <w:spacing w:after="180"/>
        <w:jc w:val="center"/>
        <w:rPr>
          <w:i w:val="0"/>
          <w:iCs w:val="0"/>
        </w:rPr>
      </w:pPr>
      <w:r>
        <w:rPr>
          <w:i w:val="0"/>
          <w:iCs w:val="0"/>
        </w:rPr>
        <w:drawing>
          <wp:inline distT="0" distB="0" distL="114300" distR="114300">
            <wp:extent cx="3579495" cy="2417445"/>
            <wp:effectExtent l="0" t="0" r="4445" b="635"/>
            <wp:docPr id="1904848785" name="图片 1904848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848785" name="图片 1904848785"/>
                    <pic:cNvPicPr>
                      <a:picLocks noChangeAspect="1"/>
                    </pic:cNvPicPr>
                  </pic:nvPicPr>
                  <pic:blipFill>
                    <a:blip r:embed="rId9"/>
                    <a:stretch>
                      <a:fillRect/>
                    </a:stretch>
                  </pic:blipFill>
                  <pic:spPr>
                    <a:xfrm>
                      <a:off x="0" y="0"/>
                      <a:ext cx="3579495" cy="2417445"/>
                    </a:xfrm>
                    <a:prstGeom prst="rect">
                      <a:avLst/>
                    </a:prstGeom>
                    <a:noFill/>
                    <a:ln>
                      <a:noFill/>
                    </a:ln>
                  </pic:spPr>
                </pic:pic>
              </a:graphicData>
            </a:graphic>
          </wp:inline>
        </w:drawing>
      </w:r>
    </w:p>
    <w:p>
      <w:pPr>
        <w:tabs>
          <w:tab w:val="center" w:pos="4819"/>
        </w:tabs>
        <w:spacing w:after="180"/>
        <w:jc w:val="center"/>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Figure 2 the typical entering condition and leaving condition for event D1/D2</w:t>
      </w:r>
    </w:p>
    <w:p>
      <w:pPr>
        <w:tabs>
          <w:tab w:val="center" w:pos="4819"/>
        </w:tabs>
        <w:spacing w:after="180"/>
        <w:jc w:val="both"/>
        <w:rPr>
          <w:rFonts w:ascii="Times New Roman" w:hAnsi="Times New Roman" w:cs="Times New Roman"/>
          <w:i w:val="0"/>
          <w:iCs w:val="0"/>
          <w:kern w:val="0"/>
          <w:sz w:val="20"/>
          <w:szCs w:val="20"/>
          <w:highlight w:val="none"/>
        </w:rPr>
      </w:pPr>
      <w:r>
        <w:rPr>
          <w:rFonts w:hint="eastAsia" w:ascii="Times New Roman" w:hAnsi="Times New Roman" w:cs="Times New Roman"/>
          <w:i w:val="0"/>
          <w:iCs w:val="0"/>
          <w:kern w:val="0"/>
          <w:sz w:val="20"/>
          <w:szCs w:val="20"/>
        </w:rPr>
        <w:t>For event D1, the spec restricts the reference points with "</w:t>
      </w:r>
      <w:r>
        <w:rPr>
          <w:rFonts w:ascii="Times New Roman" w:hAnsi="Times New Roman" w:cs="Times New Roman"/>
          <w:i w:val="0"/>
          <w:iCs w:val="0"/>
          <w:kern w:val="0"/>
          <w:sz w:val="20"/>
          <w:szCs w:val="20"/>
        </w:rPr>
        <w:t>The referenceLocation1 is associated to serving cell and referenceLocation2 is associated to neighbour cell</w:t>
      </w:r>
      <w:r>
        <w:rPr>
          <w:rFonts w:hint="eastAsia" w:ascii="Times New Roman" w:hAnsi="Times New Roman" w:cs="Times New Roman"/>
          <w:i w:val="0"/>
          <w:iCs w:val="0"/>
          <w:kern w:val="0"/>
          <w:sz w:val="20"/>
          <w:szCs w:val="20"/>
        </w:rPr>
        <w:t xml:space="preserve">." meaning that referenceLocation1 can only be selected from serving cell-related points. For event D2, since both event D2 and location-based measurement initiation utilize movingReferenceLocation in SIB19, it is reasonable to configure this movingReferenceLocation within the serving cell rather than outside of it. For the case 1 (contiguous coverage) scenario, as shown in Figure 3, </w:t>
      </w:r>
      <w:bookmarkStart w:id="20" w:name="OLE_LINK21"/>
      <w:r>
        <w:rPr>
          <w:rFonts w:hint="eastAsia" w:ascii="Times New Roman" w:hAnsi="Times New Roman" w:cs="Times New Roman"/>
          <w:i w:val="0"/>
          <w:iCs w:val="0"/>
          <w:kern w:val="0"/>
          <w:sz w:val="20"/>
          <w:szCs w:val="20"/>
        </w:rPr>
        <w:t>legacy event D1/D2</w:t>
      </w:r>
      <w:bookmarkEnd w:id="20"/>
      <w:r>
        <w:rPr>
          <w:rFonts w:hint="eastAsia" w:ascii="Times New Roman" w:hAnsi="Times New Roman" w:cs="Times New Roman"/>
          <w:i w:val="0"/>
          <w:iCs w:val="0"/>
          <w:kern w:val="0"/>
          <w:sz w:val="20"/>
          <w:szCs w:val="20"/>
        </w:rPr>
        <w:t xml:space="preserve"> can be used by gNB to identify which neighboring cell that UE is closer to. </w:t>
      </w:r>
      <w:r>
        <w:rPr>
          <w:rFonts w:ascii="Times New Roman" w:hAnsi="Times New Roman" w:cs="Times New Roman"/>
          <w:i w:val="0"/>
          <w:iCs w:val="0"/>
          <w:kern w:val="0"/>
          <w:sz w:val="20"/>
          <w:szCs w:val="20"/>
          <w:highlight w:val="none"/>
        </w:rPr>
        <w:t xml:space="preserve">For the case 2 (overlapping coverage) scenario, </w:t>
      </w:r>
      <w:bookmarkStart w:id="21" w:name="OLE_LINK25"/>
      <w:r>
        <w:rPr>
          <w:rFonts w:hint="eastAsia" w:ascii="Times New Roman" w:hAnsi="Times New Roman" w:cs="Times New Roman"/>
          <w:i w:val="0"/>
          <w:iCs w:val="0"/>
          <w:kern w:val="0"/>
          <w:sz w:val="20"/>
          <w:szCs w:val="20"/>
          <w:highlight w:val="none"/>
        </w:rPr>
        <w:t xml:space="preserve">similar with </w:t>
      </w:r>
      <w:r>
        <w:rPr>
          <w:rFonts w:hint="eastAsia" w:ascii="Times New Roman" w:hAnsi="Times New Roman" w:cs="Times New Roman"/>
          <w:i w:val="0"/>
          <w:iCs w:val="0"/>
          <w:kern w:val="0"/>
          <w:sz w:val="20"/>
          <w:szCs w:val="20"/>
          <w:highlight w:val="none"/>
          <w:lang w:val="en-US" w:eastAsia="zh-CN"/>
        </w:rPr>
        <w:t>event</w:t>
      </w:r>
      <w:r>
        <w:rPr>
          <w:rFonts w:hint="eastAsia" w:ascii="Times New Roman" w:hAnsi="Times New Roman" w:cs="Times New Roman"/>
          <w:i w:val="0"/>
          <w:iCs w:val="0"/>
          <w:kern w:val="0"/>
          <w:sz w:val="20"/>
          <w:szCs w:val="20"/>
          <w:highlight w:val="none"/>
        </w:rPr>
        <w:t xml:space="preserve">A4, </w:t>
      </w:r>
      <w:r>
        <w:rPr>
          <w:rFonts w:ascii="Times New Roman" w:hAnsi="Times New Roman" w:cs="Times New Roman"/>
          <w:i w:val="0"/>
          <w:iCs w:val="0"/>
          <w:kern w:val="0"/>
          <w:sz w:val="20"/>
          <w:szCs w:val="20"/>
          <w:highlight w:val="none"/>
        </w:rPr>
        <w:t xml:space="preserve">serving cell related configuration is </w:t>
      </w:r>
      <w:r>
        <w:rPr>
          <w:rFonts w:hint="eastAsia" w:ascii="Times New Roman" w:hAnsi="Times New Roman" w:cs="Times New Roman"/>
          <w:i w:val="0"/>
          <w:iCs w:val="0"/>
          <w:kern w:val="0"/>
          <w:sz w:val="20"/>
          <w:szCs w:val="20"/>
          <w:highlight w:val="none"/>
        </w:rPr>
        <w:t xml:space="preserve">unnecessary </w:t>
      </w:r>
      <w:r>
        <w:rPr>
          <w:rFonts w:ascii="Times New Roman" w:hAnsi="Times New Roman" w:cs="Times New Roman"/>
          <w:i w:val="0"/>
          <w:iCs w:val="0"/>
          <w:kern w:val="0"/>
          <w:sz w:val="20"/>
          <w:szCs w:val="20"/>
          <w:highlight w:val="none"/>
        </w:rPr>
        <w:t xml:space="preserve">for UE to calculate for measuring the </w:t>
      </w:r>
      <w:r>
        <w:rPr>
          <w:rFonts w:hint="eastAsia" w:ascii="Times New Roman" w:hAnsi="Times New Roman" w:cs="Times New Roman"/>
          <w:i w:val="0"/>
          <w:iCs w:val="0"/>
          <w:kern w:val="0"/>
          <w:sz w:val="20"/>
          <w:szCs w:val="20"/>
          <w:highlight w:val="none"/>
        </w:rPr>
        <w:t xml:space="preserve">neighboring </w:t>
      </w:r>
      <w:r>
        <w:rPr>
          <w:rFonts w:ascii="Times New Roman" w:hAnsi="Times New Roman" w:cs="Times New Roman"/>
          <w:i w:val="0"/>
          <w:iCs w:val="0"/>
          <w:kern w:val="0"/>
          <w:sz w:val="20"/>
          <w:szCs w:val="20"/>
          <w:highlight w:val="none"/>
        </w:rPr>
        <w:t>cell, legacy eventD1/D2 are no longer applicable</w:t>
      </w:r>
      <w:r>
        <w:rPr>
          <w:rFonts w:hint="eastAsia" w:ascii="Times New Roman" w:hAnsi="Times New Roman" w:cs="Times New Roman"/>
          <w:i w:val="0"/>
          <w:iCs w:val="0"/>
          <w:kern w:val="0"/>
          <w:sz w:val="20"/>
          <w:szCs w:val="20"/>
          <w:highlight w:val="none"/>
        </w:rPr>
        <w:t xml:space="preserve">, </w:t>
      </w:r>
      <w:r>
        <w:rPr>
          <w:rFonts w:ascii="Times New Roman" w:hAnsi="Times New Roman" w:cs="Times New Roman"/>
          <w:i w:val="0"/>
          <w:iCs w:val="0"/>
          <w:kern w:val="0"/>
          <w:sz w:val="20"/>
          <w:szCs w:val="20"/>
          <w:highlight w:val="none"/>
        </w:rPr>
        <w:t>especially</w:t>
      </w:r>
      <w:r>
        <w:rPr>
          <w:rFonts w:hint="eastAsia" w:ascii="Times New Roman" w:hAnsi="Times New Roman" w:cs="Times New Roman"/>
          <w:i w:val="0"/>
          <w:iCs w:val="0"/>
          <w:kern w:val="0"/>
          <w:sz w:val="20"/>
          <w:szCs w:val="20"/>
          <w:highlight w:val="none"/>
        </w:rPr>
        <w:t xml:space="preserve"> for load balancing</w:t>
      </w:r>
    </w:p>
    <w:bookmarkEnd w:id="21"/>
    <w:p>
      <w:pPr>
        <w:tabs>
          <w:tab w:val="center" w:pos="4819"/>
        </w:tabs>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 xml:space="preserve">Observation 6: For the case 2 (overlapping coverage) scenario, similar with </w:t>
      </w:r>
      <w:r>
        <w:rPr>
          <w:rFonts w:hint="eastAsia" w:ascii="Times New Roman" w:hAnsi="Times New Roman" w:cs="Times New Roman"/>
          <w:b/>
          <w:bCs/>
          <w:i w:val="0"/>
          <w:iCs w:val="0"/>
          <w:kern w:val="0"/>
          <w:sz w:val="20"/>
          <w:szCs w:val="20"/>
          <w:lang w:val="en-US" w:eastAsia="zh-CN"/>
        </w:rPr>
        <w:t>event</w:t>
      </w:r>
      <w:r>
        <w:rPr>
          <w:rFonts w:hint="eastAsia" w:ascii="Times New Roman" w:hAnsi="Times New Roman" w:cs="Times New Roman"/>
          <w:b/>
          <w:bCs/>
          <w:i w:val="0"/>
          <w:iCs w:val="0"/>
          <w:kern w:val="0"/>
          <w:sz w:val="20"/>
          <w:szCs w:val="20"/>
        </w:rPr>
        <w:t xml:space="preserve">A4, serving cell related configuration is unnecessary for UE to calculate for measuring the neighboring cell, legacy eventD1/D2 are no longer applicable in some </w:t>
      </w:r>
      <w:r>
        <w:rPr>
          <w:rFonts w:ascii="Times New Roman" w:hAnsi="Times New Roman" w:cs="Times New Roman"/>
          <w:b/>
          <w:bCs/>
          <w:i w:val="0"/>
          <w:iCs w:val="0"/>
          <w:kern w:val="0"/>
          <w:sz w:val="20"/>
          <w:szCs w:val="20"/>
        </w:rPr>
        <w:t>scenario</w:t>
      </w:r>
      <w:r>
        <w:rPr>
          <w:rFonts w:hint="eastAsia" w:ascii="Times New Roman" w:hAnsi="Times New Roman" w:cs="Times New Roman"/>
          <w:b/>
          <w:bCs/>
          <w:i w:val="0"/>
          <w:iCs w:val="0"/>
          <w:kern w:val="0"/>
          <w:sz w:val="20"/>
          <w:szCs w:val="20"/>
        </w:rPr>
        <w:t>s.</w:t>
      </w:r>
    </w:p>
    <w:p>
      <w:pPr>
        <w:tabs>
          <w:tab w:val="center" w:pos="4819"/>
        </w:tabs>
        <w:spacing w:after="180"/>
        <w:jc w:val="center"/>
        <w:rPr>
          <w:i w:val="0"/>
          <w:iCs w:val="0"/>
        </w:rPr>
      </w:pPr>
      <w:r>
        <w:rPr>
          <w:i w:val="0"/>
          <w:iCs w:val="0"/>
        </w:rPr>
        <w:drawing>
          <wp:inline distT="0" distB="0" distL="114300" distR="114300">
            <wp:extent cx="3478530" cy="2872105"/>
            <wp:effectExtent l="0" t="0" r="8255" b="1016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0"/>
                    <a:stretch>
                      <a:fillRect/>
                    </a:stretch>
                  </pic:blipFill>
                  <pic:spPr>
                    <a:xfrm>
                      <a:off x="0" y="0"/>
                      <a:ext cx="3478530" cy="2872105"/>
                    </a:xfrm>
                    <a:prstGeom prst="rect">
                      <a:avLst/>
                    </a:prstGeom>
                    <a:noFill/>
                    <a:ln>
                      <a:noFill/>
                    </a:ln>
                  </pic:spPr>
                </pic:pic>
              </a:graphicData>
            </a:graphic>
          </wp:inline>
        </w:drawing>
      </w:r>
    </w:p>
    <w:p>
      <w:pPr>
        <w:tabs>
          <w:tab w:val="center" w:pos="4819"/>
        </w:tabs>
        <w:spacing w:after="180"/>
        <w:jc w:val="center"/>
        <w:rPr>
          <w:i w:val="0"/>
          <w:iCs w:val="0"/>
        </w:rPr>
      </w:pPr>
      <w:r>
        <w:rPr>
          <w:rFonts w:hint="eastAsia" w:ascii="Times New Roman" w:hAnsi="Times New Roman" w:cs="Times New Roman"/>
          <w:i w:val="0"/>
          <w:iCs w:val="0"/>
          <w:kern w:val="0"/>
          <w:sz w:val="20"/>
          <w:szCs w:val="20"/>
        </w:rPr>
        <w:t>Figure 3 For case1, report the area of UEs by the legacy event D1</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To avoid this issue, the gNB shall implement different configurations for UEs in different areas to reduce invalid configurations and the UE needs to send some information so that the gNB can know how to configure the SMTC and gap appropriately.</w:t>
      </w:r>
      <w:r>
        <w:rPr>
          <w:i w:val="0"/>
          <w:iCs w:val="0"/>
        </w:rPr>
        <w:t xml:space="preserve"> </w:t>
      </w:r>
      <w:r>
        <w:rPr>
          <w:rFonts w:ascii="Times New Roman" w:hAnsi="Times New Roman" w:cs="Times New Roman"/>
          <w:i w:val="0"/>
          <w:iCs w:val="0"/>
          <w:kern w:val="0"/>
          <w:sz w:val="20"/>
          <w:szCs w:val="20"/>
        </w:rPr>
        <w:t>There are two feasible methods</w:t>
      </w:r>
      <w:r>
        <w:rPr>
          <w:rFonts w:hint="eastAsia" w:ascii="Times New Roman" w:hAnsi="Times New Roman" w:cs="Times New Roman"/>
          <w:i w:val="0"/>
          <w:iCs w:val="0"/>
          <w:kern w:val="0"/>
          <w:sz w:val="20"/>
          <w:szCs w:val="20"/>
        </w:rPr>
        <w:t xml:space="preserve"> </w:t>
      </w:r>
      <w:r>
        <w:rPr>
          <w:rFonts w:ascii="Times New Roman" w:hAnsi="Times New Roman" w:cs="Times New Roman"/>
          <w:i w:val="0"/>
          <w:iCs w:val="0"/>
          <w:kern w:val="0"/>
          <w:sz w:val="20"/>
          <w:szCs w:val="20"/>
        </w:rPr>
        <w:t>in RRC_CONNECTED</w:t>
      </w:r>
      <w:r>
        <w:rPr>
          <w:rFonts w:hint="eastAsia" w:ascii="Times New Roman" w:hAnsi="Times New Roman" w:cs="Times New Roman"/>
          <w:i w:val="0"/>
          <w:iCs w:val="0"/>
          <w:kern w:val="0"/>
          <w:sz w:val="20"/>
          <w:szCs w:val="20"/>
        </w:rPr>
        <w:t>:</w:t>
      </w:r>
    </w:p>
    <w:p>
      <w:pPr>
        <w:spacing w:after="180"/>
        <w:jc w:val="both"/>
        <w:rPr>
          <w:rFonts w:ascii="Times New Roman" w:hAnsi="Times New Roman" w:cs="Times New Roman"/>
          <w:b/>
          <w:bCs/>
          <w:i w:val="0"/>
          <w:iCs w:val="0"/>
          <w:kern w:val="0"/>
          <w:sz w:val="20"/>
          <w:szCs w:val="20"/>
          <w:lang w:val="de-DE" w:eastAsia="en-US"/>
        </w:rPr>
      </w:pPr>
      <w:r>
        <w:rPr>
          <w:rFonts w:ascii="Times New Roman" w:hAnsi="Times New Roman" w:cs="Times New Roman"/>
          <w:b/>
          <w:bCs/>
          <w:i w:val="0"/>
          <w:iCs w:val="0"/>
          <w:kern w:val="0"/>
          <w:sz w:val="20"/>
          <w:szCs w:val="20"/>
          <w:lang w:val="de-DE" w:eastAsia="en-US"/>
        </w:rPr>
        <w:t xml:space="preserve">Option </w:t>
      </w:r>
      <w:r>
        <w:rPr>
          <w:rFonts w:hint="eastAsia" w:ascii="Times New Roman" w:hAnsi="Times New Roman" w:cs="Times New Roman"/>
          <w:b/>
          <w:bCs/>
          <w:i w:val="0"/>
          <w:iCs w:val="0"/>
          <w:kern w:val="0"/>
          <w:sz w:val="20"/>
          <w:szCs w:val="20"/>
          <w:lang w:val="de-DE"/>
        </w:rPr>
        <w:t>1</w:t>
      </w:r>
      <w:r>
        <w:rPr>
          <w:rFonts w:ascii="Times New Roman" w:hAnsi="Times New Roman" w:cs="Times New Roman"/>
          <w:b/>
          <w:bCs/>
          <w:i w:val="0"/>
          <w:iCs w:val="0"/>
          <w:kern w:val="0"/>
          <w:sz w:val="20"/>
          <w:szCs w:val="20"/>
          <w:lang w:val="de-DE" w:eastAsia="en-US"/>
        </w:rPr>
        <w:t xml:space="preserve">: </w:t>
      </w:r>
      <w:bookmarkStart w:id="22" w:name="OLE_LINK26"/>
      <w:r>
        <w:rPr>
          <w:rFonts w:ascii="Times New Roman" w:hAnsi="Times New Roman" w:cs="Times New Roman"/>
          <w:b/>
          <w:bCs/>
          <w:i w:val="0"/>
          <w:iCs w:val="0"/>
          <w:kern w:val="0"/>
          <w:sz w:val="20"/>
          <w:szCs w:val="20"/>
          <w:lang w:val="de-DE" w:eastAsia="en-US"/>
        </w:rPr>
        <w:t>Measurement report based solution</w:t>
      </w:r>
      <w:bookmarkEnd w:id="22"/>
    </w:p>
    <w:p>
      <w:pPr>
        <w:tabs>
          <w:tab w:val="center" w:pos="4819"/>
        </w:tabs>
        <w:spacing w:after="180"/>
        <w:jc w:val="both"/>
        <w:rPr>
          <w:rFonts w:ascii="Times New Roman" w:hAnsi="Times New Roman" w:cs="Times New Roman"/>
          <w:i w:val="0"/>
          <w:iCs w:val="0"/>
          <w:kern w:val="0"/>
          <w:sz w:val="20"/>
          <w:szCs w:val="20"/>
        </w:rPr>
      </w:pPr>
      <w:r>
        <w:rPr>
          <w:rFonts w:ascii="Times New Roman" w:hAnsi="Times New Roman" w:cs="Times New Roman"/>
          <w:i w:val="0"/>
          <w:iCs w:val="0"/>
          <w:kern w:val="0"/>
          <w:sz w:val="20"/>
          <w:szCs w:val="20"/>
        </w:rPr>
        <w:t xml:space="preserve">Based on the above analysis of the </w:t>
      </w:r>
      <w:r>
        <w:rPr>
          <w:rFonts w:hint="eastAsia" w:ascii="Times New Roman" w:hAnsi="Times New Roman" w:cs="Times New Roman"/>
          <w:i w:val="0"/>
          <w:iCs w:val="0"/>
          <w:kern w:val="0"/>
          <w:sz w:val="20"/>
          <w:szCs w:val="20"/>
        </w:rPr>
        <w:t>Event D</w:t>
      </w:r>
      <w:r>
        <w:rPr>
          <w:rFonts w:ascii="Times New Roman" w:hAnsi="Times New Roman" w:cs="Times New Roman"/>
          <w:i w:val="0"/>
          <w:iCs w:val="0"/>
          <w:kern w:val="0"/>
          <w:sz w:val="20"/>
          <w:szCs w:val="20"/>
        </w:rPr>
        <w:t>1</w:t>
      </w:r>
      <w:r>
        <w:rPr>
          <w:rFonts w:hint="eastAsia" w:ascii="Times New Roman" w:hAnsi="Times New Roman" w:cs="Times New Roman"/>
          <w:i w:val="0"/>
          <w:iCs w:val="0"/>
          <w:kern w:val="0"/>
          <w:sz w:val="20"/>
          <w:szCs w:val="20"/>
        </w:rPr>
        <w:t>/D2</w:t>
      </w:r>
      <w:r>
        <w:rPr>
          <w:rFonts w:ascii="Times New Roman" w:hAnsi="Times New Roman" w:cs="Times New Roman"/>
          <w:i w:val="0"/>
          <w:iCs w:val="0"/>
          <w:kern w:val="0"/>
          <w:sz w:val="20"/>
          <w:szCs w:val="20"/>
        </w:rPr>
        <w:t xml:space="preserve">, we present the following </w:t>
      </w:r>
      <w:r>
        <w:rPr>
          <w:rFonts w:hint="eastAsia" w:ascii="Times New Roman" w:hAnsi="Times New Roman" w:cs="Times New Roman"/>
          <w:i w:val="0"/>
          <w:iCs w:val="0"/>
          <w:kern w:val="0"/>
          <w:sz w:val="20"/>
          <w:szCs w:val="20"/>
        </w:rPr>
        <w:t xml:space="preserve">solutions </w:t>
      </w:r>
      <w:r>
        <w:rPr>
          <w:rFonts w:ascii="Times New Roman" w:hAnsi="Times New Roman" w:cs="Times New Roman"/>
          <w:i w:val="0"/>
          <w:iCs w:val="0"/>
          <w:kern w:val="0"/>
          <w:sz w:val="20"/>
          <w:szCs w:val="20"/>
        </w:rPr>
        <w:t>for option</w:t>
      </w:r>
      <w:r>
        <w:rPr>
          <w:rFonts w:hint="eastAsia" w:ascii="Times New Roman" w:hAnsi="Times New Roman" w:cs="Times New Roman"/>
          <w:i w:val="0"/>
          <w:iCs w:val="0"/>
          <w:kern w:val="0"/>
          <w:sz w:val="20"/>
          <w:szCs w:val="20"/>
        </w:rPr>
        <w:t>1</w:t>
      </w:r>
      <w:r>
        <w:rPr>
          <w:rFonts w:ascii="Times New Roman" w:hAnsi="Times New Roman" w:cs="Times New Roman"/>
          <w:i w:val="0"/>
          <w:iCs w:val="0"/>
          <w:kern w:val="0"/>
          <w:sz w:val="20"/>
          <w:szCs w:val="20"/>
        </w:rPr>
        <w:t>.</w:t>
      </w:r>
    </w:p>
    <w:p>
      <w:pPr>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Option 1-1:</w:t>
      </w:r>
      <w:r>
        <w:rPr>
          <w:rFonts w:ascii="Times New Roman" w:hAnsi="Times New Roman" w:cs="Times New Roman"/>
          <w:b/>
          <w:bCs/>
          <w:i w:val="0"/>
          <w:iCs w:val="0"/>
          <w:kern w:val="0"/>
          <w:sz w:val="20"/>
          <w:szCs w:val="20"/>
        </w:rPr>
        <w:t xml:space="preserve"> event D1/D2 enhancement</w:t>
      </w:r>
    </w:p>
    <w:p>
      <w:pPr>
        <w:tabs>
          <w:tab w:val="center" w:pos="4819"/>
        </w:tabs>
        <w:spacing w:after="180"/>
        <w:jc w:val="both"/>
        <w:rPr>
          <w:rFonts w:hint="eastAsia"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lang w:val="en-US" w:eastAsia="zh-CN"/>
        </w:rPr>
        <w:t>I</w:t>
      </w:r>
      <w:r>
        <w:rPr>
          <w:rFonts w:hint="eastAsia" w:ascii="Times New Roman" w:hAnsi="Times New Roman" w:cs="Times New Roman"/>
          <w:i w:val="0"/>
          <w:iCs w:val="0"/>
          <w:kern w:val="0"/>
          <w:sz w:val="20"/>
          <w:szCs w:val="20"/>
          <w:highlight w:val="none"/>
        </w:rPr>
        <w:t>n order to reduce the impact of the serving cell parameters during the measurement of neighbour c</w:t>
      </w:r>
      <w:r>
        <w:rPr>
          <w:rFonts w:hint="eastAsia" w:ascii="Times New Roman" w:hAnsi="Times New Roman" w:cs="Times New Roman"/>
          <w:i w:val="0"/>
          <w:iCs w:val="0"/>
          <w:kern w:val="0"/>
          <w:sz w:val="20"/>
          <w:szCs w:val="20"/>
          <w:highlight w:val="none"/>
          <w:lang w:val="en-US" w:eastAsia="zh-CN"/>
        </w:rPr>
        <w:t>ell</w:t>
      </w:r>
      <w:r>
        <w:rPr>
          <w:rFonts w:hint="eastAsia" w:ascii="Times New Roman" w:hAnsi="Times New Roman" w:cs="Times New Roman"/>
          <w:i w:val="0"/>
          <w:iCs w:val="0"/>
          <w:kern w:val="0"/>
          <w:sz w:val="20"/>
          <w:szCs w:val="20"/>
          <w:highlight w:val="none"/>
        </w:rPr>
        <w:t>, UE does not need to frequently calculate unnecessary values</w:t>
      </w:r>
      <w:r>
        <w:rPr>
          <w:rFonts w:hint="eastAsia" w:ascii="Times New Roman" w:hAnsi="Times New Roman" w:cs="Times New Roman"/>
          <w:i w:val="0"/>
          <w:iCs w:val="0"/>
          <w:kern w:val="0"/>
          <w:sz w:val="20"/>
          <w:szCs w:val="20"/>
          <w:highlight w:val="none"/>
          <w:lang w:val="en-US" w:eastAsia="zh-CN"/>
        </w:rPr>
        <w:t xml:space="preserve"> in some scenarios</w:t>
      </w:r>
      <w:r>
        <w:rPr>
          <w:rFonts w:hint="eastAsia" w:ascii="Times New Roman" w:hAnsi="Times New Roman" w:cs="Times New Roman"/>
          <w:i w:val="0"/>
          <w:iCs w:val="0"/>
          <w:kern w:val="0"/>
          <w:sz w:val="20"/>
          <w:szCs w:val="20"/>
          <w:highlight w:val="none"/>
        </w:rPr>
        <w:t>.</w:t>
      </w:r>
      <w:r>
        <w:rPr>
          <w:rFonts w:hint="eastAsia" w:ascii="Times New Roman" w:hAnsi="Times New Roman" w:cs="Times New Roman"/>
          <w:i w:val="0"/>
          <w:iCs w:val="0"/>
          <w:kern w:val="0"/>
          <w:sz w:val="20"/>
          <w:szCs w:val="20"/>
          <w:highlight w:val="none"/>
          <w:lang w:val="en-US" w:eastAsia="zh-CN"/>
        </w:rPr>
        <w:t xml:space="preserve"> The network can inform UE implicitly to </w:t>
      </w:r>
      <w:r>
        <w:rPr>
          <w:rFonts w:hint="eastAsia" w:ascii="Times New Roman" w:hAnsi="Times New Roman" w:cs="Times New Roman"/>
          <w:i w:val="0"/>
          <w:iCs w:val="0"/>
          <w:kern w:val="0"/>
          <w:sz w:val="20"/>
          <w:szCs w:val="20"/>
        </w:rPr>
        <w:t>invalidate the configuration of serving cell in both eventD1/D2 and condEventD1/D2.</w:t>
      </w:r>
    </w:p>
    <w:p>
      <w:pPr>
        <w:tabs>
          <w:tab w:val="center" w:pos="4819"/>
        </w:tabs>
        <w:spacing w:after="180"/>
        <w:jc w:val="both"/>
        <w:rPr>
          <w:rFonts w:hint="eastAsia" w:ascii="Times New Roman" w:hAnsi="Times New Roman" w:cs="Times New Roman" w:eastAsiaTheme="minorEastAsia"/>
          <w:i w:val="0"/>
          <w:iCs w:val="0"/>
          <w:kern w:val="0"/>
          <w:sz w:val="20"/>
          <w:szCs w:val="20"/>
          <w:lang w:val="en-US" w:eastAsia="zh-CN"/>
        </w:rPr>
      </w:pPr>
      <w:r>
        <w:rPr>
          <w:rFonts w:hint="eastAsia" w:ascii="Times New Roman" w:hAnsi="Times New Roman" w:cs="Times New Roman"/>
          <w:i w:val="0"/>
          <w:iCs w:val="0"/>
          <w:kern w:val="0"/>
          <w:sz w:val="20"/>
          <w:szCs w:val="20"/>
        </w:rPr>
        <w:t>According to the current specification, the minimum configuration value for distance threshold in eventD1/D2 is 1 (i.e. 50 meters), while the minimum value for condEventD1/D2 is 0.</w:t>
      </w:r>
      <w:r>
        <w:rPr>
          <w:rFonts w:hint="eastAsia" w:ascii="Times New Roman" w:hAnsi="Times New Roman" w:cs="Times New Roman"/>
          <w:i w:val="0"/>
          <w:iCs w:val="0"/>
          <w:kern w:val="0"/>
          <w:sz w:val="20"/>
          <w:szCs w:val="20"/>
          <w:lang w:val="en-US" w:eastAsia="zh-CN"/>
        </w:rPr>
        <w:t xml:space="preserve"> </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eventD1-r17                                 </w:t>
      </w:r>
      <w:r>
        <w:rPr>
          <w:rFonts w:ascii="Courier New" w:hAnsi="Courier New" w:eastAsia="Times New Roman"/>
          <w:i w:val="0"/>
          <w:iCs w:val="0"/>
          <w:color w:val="993366"/>
          <w:kern w:val="0"/>
          <w:sz w:val="16"/>
          <w:szCs w:val="16"/>
          <w:lang w:eastAsia="zh-CN" w:bidi="ar"/>
        </w:rPr>
        <w:t>SEQUENCE</w:t>
      </w:r>
      <w:r>
        <w:rPr>
          <w:rFonts w:ascii="Courier New" w:hAnsi="Courier New" w:eastAsia="Times New Roman"/>
          <w:i w:val="0"/>
          <w:iCs w:val="0"/>
          <w:kern w:val="0"/>
          <w:sz w:val="16"/>
          <w:szCs w:val="16"/>
          <w:lang w:eastAsia="zh-CN" w:bidi="ar"/>
        </w:rPr>
        <w:t xml:space="preserve"> {</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highlight w:val="yellow"/>
          <w:lang w:eastAsia="zh-CN" w:bidi="ar"/>
        </w:rPr>
      </w:pPr>
      <w:r>
        <w:rPr>
          <w:rFonts w:ascii="Courier New" w:hAnsi="Courier New" w:eastAsia="Times New Roman"/>
          <w:i w:val="0"/>
          <w:iCs w:val="0"/>
          <w:kern w:val="0"/>
          <w:sz w:val="16"/>
          <w:szCs w:val="16"/>
          <w:highlight w:val="yellow"/>
          <w:lang w:eastAsia="zh-CN" w:bidi="ar"/>
        </w:rPr>
        <w:t xml:space="preserve">            </w:t>
      </w:r>
      <w:bookmarkStart w:id="23" w:name="OLE_LINK8"/>
      <w:r>
        <w:rPr>
          <w:rFonts w:ascii="Courier New" w:hAnsi="Courier New" w:eastAsia="Times New Roman"/>
          <w:i w:val="0"/>
          <w:iCs w:val="0"/>
          <w:kern w:val="0"/>
          <w:sz w:val="16"/>
          <w:szCs w:val="16"/>
          <w:highlight w:val="yellow"/>
          <w:lang w:eastAsia="zh-CN" w:bidi="ar"/>
        </w:rPr>
        <w:t>distanceThreshFromReference1</w:t>
      </w:r>
      <w:bookmarkEnd w:id="23"/>
      <w:r>
        <w:rPr>
          <w:rFonts w:ascii="Courier New" w:hAnsi="Courier New" w:eastAsia="Times New Roman"/>
          <w:i w:val="0"/>
          <w:iCs w:val="0"/>
          <w:kern w:val="0"/>
          <w:sz w:val="16"/>
          <w:szCs w:val="16"/>
          <w:highlight w:val="yellow"/>
          <w:lang w:eastAsia="zh-CN" w:bidi="ar"/>
        </w:rPr>
        <w:t xml:space="preserve">-r17            </w:t>
      </w:r>
      <w:r>
        <w:rPr>
          <w:rFonts w:ascii="Courier New" w:hAnsi="Courier New" w:eastAsia="Times New Roman"/>
          <w:i w:val="0"/>
          <w:iCs w:val="0"/>
          <w:color w:val="993366"/>
          <w:kern w:val="0"/>
          <w:sz w:val="16"/>
          <w:szCs w:val="16"/>
          <w:highlight w:val="yellow"/>
          <w:lang w:eastAsia="zh-CN" w:bidi="ar"/>
        </w:rPr>
        <w:t>INTEGER</w:t>
      </w:r>
      <w:r>
        <w:rPr>
          <w:rFonts w:ascii="Courier New" w:hAnsi="Courier New" w:eastAsia="Times New Roman"/>
          <w:i w:val="0"/>
          <w:iCs w:val="0"/>
          <w:kern w:val="0"/>
          <w:sz w:val="16"/>
          <w:szCs w:val="16"/>
          <w:highlight w:val="yellow"/>
          <w:lang w:eastAsia="zh-CN" w:bidi="ar"/>
        </w:rPr>
        <w:t>(1.. 65525),</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lang w:eastAsia="zh-CN" w:bidi="ar"/>
        </w:rPr>
      </w:pPr>
      <w:r>
        <w:rPr>
          <w:rFonts w:ascii="Courier New" w:hAnsi="Courier New" w:eastAsia="Times New Roman"/>
          <w:i w:val="0"/>
          <w:iCs w:val="0"/>
          <w:kern w:val="0"/>
          <w:sz w:val="16"/>
          <w:szCs w:val="16"/>
          <w:lang w:eastAsia="zh-CN" w:bidi="ar"/>
        </w:rPr>
        <w:t xml:space="preserve">            distanceThreshFromReference2-r17            </w:t>
      </w:r>
      <w:r>
        <w:rPr>
          <w:rFonts w:ascii="Courier New" w:hAnsi="Courier New" w:eastAsia="Times New Roman"/>
          <w:i w:val="0"/>
          <w:iCs w:val="0"/>
          <w:color w:val="993366"/>
          <w:kern w:val="0"/>
          <w:sz w:val="16"/>
          <w:szCs w:val="16"/>
          <w:lang w:eastAsia="zh-CN" w:bidi="ar"/>
        </w:rPr>
        <w:t>INTEGER</w:t>
      </w:r>
      <w:r>
        <w:rPr>
          <w:rFonts w:ascii="Courier New" w:hAnsi="Courier New" w:eastAsia="Times New Roman"/>
          <w:i w:val="0"/>
          <w:iCs w:val="0"/>
          <w:kern w:val="0"/>
          <w:sz w:val="16"/>
          <w:szCs w:val="16"/>
          <w:lang w:eastAsia="zh-CN" w:bidi="ar"/>
        </w:rPr>
        <w:t>(1.. 65525),</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referenceLocation1-r17                      ReferenceLocation-r17,</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referenceLocation2-r17                      ReferenceLocation-r17,</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reportOnLeave-r17                           </w:t>
      </w:r>
      <w:r>
        <w:rPr>
          <w:rFonts w:ascii="Courier New" w:hAnsi="Courier New" w:eastAsia="Times New Roman"/>
          <w:i w:val="0"/>
          <w:iCs w:val="0"/>
          <w:color w:val="993366"/>
          <w:kern w:val="0"/>
          <w:sz w:val="16"/>
          <w:szCs w:val="16"/>
          <w:lang w:eastAsia="zh-CN" w:bidi="ar"/>
        </w:rPr>
        <w:t>BOOLEAN</w:t>
      </w:r>
      <w:r>
        <w:rPr>
          <w:rFonts w:ascii="Courier New" w:hAnsi="Courier New" w:eastAsia="Times New Roman"/>
          <w:i w:val="0"/>
          <w:iCs w:val="0"/>
          <w:kern w:val="0"/>
          <w:sz w:val="16"/>
          <w:szCs w:val="16"/>
          <w:lang w:eastAsia="zh-CN" w:bidi="ar"/>
        </w:rPr>
        <w:t>,</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hysteresisLocation-r17                      HysteresisLocation-r17,</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timeToTrigger-r17                          </w:t>
      </w:r>
      <w:r>
        <w:rPr>
          <w:rFonts w:hint="eastAsia" w:ascii="Courier New" w:hAnsi="Courier New" w:eastAsia="Times New Roman"/>
          <w:i w:val="0"/>
          <w:iCs w:val="0"/>
          <w:kern w:val="0"/>
          <w:sz w:val="16"/>
          <w:szCs w:val="16"/>
          <w:lang w:eastAsia="zh-CN" w:bidi="ar"/>
        </w:rPr>
        <w:t xml:space="preserve"> </w:t>
      </w:r>
      <w:r>
        <w:rPr>
          <w:rFonts w:ascii="Courier New" w:hAnsi="Courier New" w:eastAsia="Times New Roman"/>
          <w:i w:val="0"/>
          <w:iCs w:val="0"/>
          <w:kern w:val="0"/>
          <w:sz w:val="16"/>
          <w:szCs w:val="16"/>
          <w:lang w:eastAsia="zh-CN" w:bidi="ar"/>
        </w:rPr>
        <w:t xml:space="preserve"> TimeToTrigger</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宋体"/>
          <w:i w:val="0"/>
          <w:iCs w:val="0"/>
          <w:sz w:val="16"/>
          <w:szCs w:val="16"/>
          <w:lang w:eastAsia="zh-CN"/>
        </w:rPr>
      </w:pPr>
      <w:r>
        <w:rPr>
          <w:rFonts w:ascii="Courier New" w:hAnsi="Courier New" w:eastAsia="Times New Roman"/>
          <w:i w:val="0"/>
          <w:iCs w:val="0"/>
          <w:kern w:val="0"/>
          <w:sz w:val="16"/>
          <w:szCs w:val="16"/>
          <w:lang w:eastAsia="zh-CN" w:bidi="ar"/>
        </w:rPr>
        <w:t xml:space="preserve">        }</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lang w:eastAsia="zh-CN" w:bidi="ar"/>
        </w:rPr>
      </w:pPr>
      <w:r>
        <w:rPr>
          <w:rFonts w:ascii="Courier New" w:hAnsi="Courier New" w:eastAsia="Times New Roman"/>
          <w:i w:val="0"/>
          <w:iCs w:val="0"/>
          <w:kern w:val="0"/>
          <w:sz w:val="16"/>
          <w:szCs w:val="16"/>
          <w:lang w:eastAsia="zh-CN" w:bidi="ar"/>
        </w:rPr>
        <w:t xml:space="preserve">        eventD2-r18                                 </w:t>
      </w:r>
      <w:r>
        <w:rPr>
          <w:rFonts w:ascii="Courier New" w:hAnsi="Courier New" w:eastAsia="Times New Roman"/>
          <w:i w:val="0"/>
          <w:iCs w:val="0"/>
          <w:color w:val="993366"/>
          <w:kern w:val="0"/>
          <w:sz w:val="16"/>
          <w:szCs w:val="16"/>
          <w:lang w:eastAsia="zh-CN" w:bidi="ar"/>
        </w:rPr>
        <w:t>SEQUENCE</w:t>
      </w:r>
      <w:r>
        <w:rPr>
          <w:rFonts w:ascii="Courier New" w:hAnsi="Courier New" w:eastAsia="Times New Roman"/>
          <w:i w:val="0"/>
          <w:iCs w:val="0"/>
          <w:kern w:val="0"/>
          <w:sz w:val="16"/>
          <w:szCs w:val="16"/>
          <w:lang w:eastAsia="zh-CN" w:bidi="ar"/>
        </w:rPr>
        <w:t xml:space="preserve"> {</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highlight w:val="yellow"/>
          <w:lang w:eastAsia="zh-CN" w:bidi="ar"/>
        </w:rPr>
      </w:pPr>
      <w:r>
        <w:rPr>
          <w:rFonts w:ascii="Courier New" w:hAnsi="Courier New" w:eastAsia="Times New Roman"/>
          <w:i w:val="0"/>
          <w:iCs w:val="0"/>
          <w:kern w:val="0"/>
          <w:sz w:val="16"/>
          <w:szCs w:val="16"/>
          <w:highlight w:val="yellow"/>
          <w:lang w:eastAsia="zh-CN" w:bidi="ar"/>
        </w:rPr>
        <w:t xml:space="preserve">            distanceThreshFromReference1-r18            </w:t>
      </w:r>
      <w:r>
        <w:rPr>
          <w:rFonts w:ascii="Courier New" w:hAnsi="Courier New" w:eastAsia="Times New Roman"/>
          <w:i w:val="0"/>
          <w:iCs w:val="0"/>
          <w:color w:val="993366"/>
          <w:kern w:val="0"/>
          <w:sz w:val="16"/>
          <w:szCs w:val="16"/>
          <w:highlight w:val="yellow"/>
          <w:lang w:eastAsia="zh-CN" w:bidi="ar"/>
        </w:rPr>
        <w:t>INTEGER</w:t>
      </w:r>
      <w:r>
        <w:rPr>
          <w:rFonts w:ascii="Courier New" w:hAnsi="Courier New" w:eastAsia="Times New Roman"/>
          <w:i w:val="0"/>
          <w:iCs w:val="0"/>
          <w:kern w:val="0"/>
          <w:sz w:val="16"/>
          <w:szCs w:val="16"/>
          <w:highlight w:val="yellow"/>
          <w:lang w:eastAsia="zh-CN" w:bidi="ar"/>
        </w:rPr>
        <w:t>(1.. 65535),</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lang w:eastAsia="zh-CN" w:bidi="ar"/>
        </w:rPr>
      </w:pPr>
      <w:r>
        <w:rPr>
          <w:rFonts w:ascii="Courier New" w:hAnsi="Courier New" w:eastAsia="Times New Roman"/>
          <w:i w:val="0"/>
          <w:iCs w:val="0"/>
          <w:kern w:val="0"/>
          <w:sz w:val="16"/>
          <w:szCs w:val="16"/>
          <w:lang w:eastAsia="zh-CN" w:bidi="ar"/>
        </w:rPr>
        <w:t xml:space="preserve">            distanceThreshFromReference2-r18            </w:t>
      </w:r>
      <w:r>
        <w:rPr>
          <w:rFonts w:ascii="Courier New" w:hAnsi="Courier New" w:eastAsia="Times New Roman"/>
          <w:i w:val="0"/>
          <w:iCs w:val="0"/>
          <w:color w:val="993366"/>
          <w:kern w:val="0"/>
          <w:sz w:val="16"/>
          <w:szCs w:val="16"/>
          <w:lang w:eastAsia="zh-CN" w:bidi="ar"/>
        </w:rPr>
        <w:t>INTEGER</w:t>
      </w:r>
      <w:r>
        <w:rPr>
          <w:rFonts w:ascii="Courier New" w:hAnsi="Courier New" w:eastAsia="Times New Roman"/>
          <w:i w:val="0"/>
          <w:iCs w:val="0"/>
          <w:kern w:val="0"/>
          <w:sz w:val="16"/>
          <w:szCs w:val="16"/>
          <w:lang w:eastAsia="zh-CN" w:bidi="ar"/>
        </w:rPr>
        <w:t>(1.. 65535),</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reportOnLeave-r18                           </w:t>
      </w:r>
      <w:r>
        <w:rPr>
          <w:rFonts w:ascii="Courier New" w:hAnsi="Courier New" w:eastAsia="Times New Roman"/>
          <w:i w:val="0"/>
          <w:iCs w:val="0"/>
          <w:color w:val="993366"/>
          <w:kern w:val="0"/>
          <w:sz w:val="16"/>
          <w:szCs w:val="16"/>
          <w:lang w:eastAsia="zh-CN" w:bidi="ar"/>
        </w:rPr>
        <w:t>BOOLEAN</w:t>
      </w:r>
      <w:r>
        <w:rPr>
          <w:rFonts w:ascii="Courier New" w:hAnsi="Courier New" w:eastAsia="Times New Roman"/>
          <w:i w:val="0"/>
          <w:iCs w:val="0"/>
          <w:kern w:val="0"/>
          <w:sz w:val="16"/>
          <w:szCs w:val="16"/>
          <w:lang w:eastAsia="zh-CN" w:bidi="ar"/>
        </w:rPr>
        <w:t>,</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hysteresisLocation-r18                      HysteresisLocation-r17,</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timeToTrigger-r18                        </w:t>
      </w:r>
      <w:r>
        <w:rPr>
          <w:rFonts w:hint="eastAsia" w:ascii="Courier New" w:hAnsi="Courier New" w:eastAsia="Times New Roman"/>
          <w:i w:val="0"/>
          <w:iCs w:val="0"/>
          <w:kern w:val="0"/>
          <w:sz w:val="16"/>
          <w:szCs w:val="16"/>
          <w:lang w:eastAsia="zh-CN" w:bidi="ar"/>
        </w:rPr>
        <w:t xml:space="preserve"> </w:t>
      </w:r>
      <w:r>
        <w:rPr>
          <w:rFonts w:ascii="Courier New" w:hAnsi="Courier New" w:eastAsia="Times New Roman"/>
          <w:i w:val="0"/>
          <w:iCs w:val="0"/>
          <w:kern w:val="0"/>
          <w:sz w:val="16"/>
          <w:szCs w:val="16"/>
          <w:lang w:eastAsia="zh-CN" w:bidi="ar"/>
        </w:rPr>
        <w:t xml:space="preserve">   TimeToTrigger</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lang w:eastAsia="zh-CN" w:bidi="ar"/>
        </w:rPr>
      </w:pPr>
      <w:r>
        <w:rPr>
          <w:rFonts w:ascii="Courier New" w:hAnsi="Courier New" w:eastAsia="Times New Roman"/>
          <w:i w:val="0"/>
          <w:iCs w:val="0"/>
          <w:kern w:val="0"/>
          <w:sz w:val="16"/>
          <w:szCs w:val="16"/>
          <w:lang w:eastAsia="zh-CN" w:bidi="ar"/>
        </w:rPr>
        <w:t xml:space="preserve">        }</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cond</w:t>
      </w:r>
      <w:r>
        <w:rPr>
          <w:rFonts w:hint="eastAsia" w:ascii="Courier New" w:hAnsi="Courier New" w:eastAsia="Times New Roman"/>
          <w:i w:val="0"/>
          <w:iCs w:val="0"/>
          <w:kern w:val="0"/>
          <w:sz w:val="16"/>
          <w:szCs w:val="16"/>
          <w:lang w:eastAsia="zh-CN" w:bidi="ar"/>
        </w:rPr>
        <w:t>E</w:t>
      </w:r>
      <w:r>
        <w:rPr>
          <w:rFonts w:ascii="Courier New" w:hAnsi="Courier New" w:eastAsia="Times New Roman"/>
          <w:i w:val="0"/>
          <w:iCs w:val="0"/>
          <w:kern w:val="0"/>
          <w:sz w:val="16"/>
          <w:szCs w:val="16"/>
          <w:lang w:eastAsia="zh-CN" w:bidi="ar"/>
        </w:rPr>
        <w:t xml:space="preserve">ventD1-r17                            </w:t>
      </w:r>
      <w:r>
        <w:rPr>
          <w:rFonts w:ascii="Courier New" w:hAnsi="Courier New" w:eastAsia="Times New Roman"/>
          <w:i w:val="0"/>
          <w:iCs w:val="0"/>
          <w:color w:val="993366"/>
          <w:kern w:val="0"/>
          <w:sz w:val="16"/>
          <w:szCs w:val="16"/>
          <w:lang w:eastAsia="zh-CN" w:bidi="ar"/>
        </w:rPr>
        <w:t>SEQUENCE</w:t>
      </w:r>
      <w:r>
        <w:rPr>
          <w:rFonts w:ascii="Courier New" w:hAnsi="Courier New" w:eastAsia="Times New Roman"/>
          <w:i w:val="0"/>
          <w:iCs w:val="0"/>
          <w:kern w:val="0"/>
          <w:sz w:val="16"/>
          <w:szCs w:val="16"/>
          <w:lang w:eastAsia="zh-CN" w:bidi="ar"/>
        </w:rPr>
        <w:t xml:space="preserve"> {</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highlight w:val="yellow"/>
          <w:lang w:eastAsia="zh-CN" w:bidi="ar"/>
        </w:rPr>
      </w:pPr>
      <w:r>
        <w:rPr>
          <w:rFonts w:ascii="Courier New" w:hAnsi="Courier New" w:eastAsia="Times New Roman"/>
          <w:i w:val="0"/>
          <w:iCs w:val="0"/>
          <w:kern w:val="0"/>
          <w:sz w:val="16"/>
          <w:szCs w:val="16"/>
          <w:highlight w:val="yellow"/>
          <w:lang w:eastAsia="zh-CN" w:bidi="ar"/>
        </w:rPr>
        <w:t xml:space="preserve">            distanceThreshFromReference1-r17            </w:t>
      </w:r>
      <w:r>
        <w:rPr>
          <w:rFonts w:ascii="Courier New" w:hAnsi="Courier New" w:eastAsia="Times New Roman"/>
          <w:i w:val="0"/>
          <w:iCs w:val="0"/>
          <w:color w:val="993366"/>
          <w:kern w:val="0"/>
          <w:sz w:val="16"/>
          <w:szCs w:val="16"/>
          <w:highlight w:val="yellow"/>
          <w:lang w:eastAsia="zh-CN" w:bidi="ar"/>
        </w:rPr>
        <w:t>INTEGER</w:t>
      </w:r>
      <w:r>
        <w:rPr>
          <w:rFonts w:ascii="Courier New" w:hAnsi="Courier New" w:eastAsia="Times New Roman"/>
          <w:i w:val="0"/>
          <w:iCs w:val="0"/>
          <w:kern w:val="0"/>
          <w:sz w:val="16"/>
          <w:szCs w:val="16"/>
          <w:highlight w:val="yellow"/>
          <w:lang w:eastAsia="zh-CN" w:bidi="ar"/>
        </w:rPr>
        <w:t>(</w:t>
      </w:r>
      <w:r>
        <w:rPr>
          <w:rFonts w:hint="eastAsia" w:ascii="Courier New" w:hAnsi="Courier New" w:eastAsia="Times New Roman"/>
          <w:i w:val="0"/>
          <w:iCs w:val="0"/>
          <w:kern w:val="0"/>
          <w:sz w:val="16"/>
          <w:szCs w:val="16"/>
          <w:highlight w:val="yellow"/>
          <w:lang w:eastAsia="zh-CN" w:bidi="ar"/>
        </w:rPr>
        <w:t>0</w:t>
      </w:r>
      <w:r>
        <w:rPr>
          <w:rFonts w:ascii="Courier New" w:hAnsi="Courier New" w:eastAsia="Times New Roman"/>
          <w:i w:val="0"/>
          <w:iCs w:val="0"/>
          <w:kern w:val="0"/>
          <w:sz w:val="16"/>
          <w:szCs w:val="16"/>
          <w:highlight w:val="yellow"/>
          <w:lang w:eastAsia="zh-CN" w:bidi="ar"/>
        </w:rPr>
        <w:t>.. 65525),</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lang w:eastAsia="zh-CN" w:bidi="ar"/>
        </w:rPr>
      </w:pPr>
      <w:r>
        <w:rPr>
          <w:rFonts w:ascii="Courier New" w:hAnsi="Courier New" w:eastAsia="Times New Roman"/>
          <w:i w:val="0"/>
          <w:iCs w:val="0"/>
          <w:kern w:val="0"/>
          <w:sz w:val="16"/>
          <w:szCs w:val="16"/>
          <w:lang w:eastAsia="zh-CN" w:bidi="ar"/>
        </w:rPr>
        <w:t xml:space="preserve">            distanceThreshFromReference2-r17            </w:t>
      </w:r>
      <w:r>
        <w:rPr>
          <w:rFonts w:ascii="Courier New" w:hAnsi="Courier New" w:eastAsia="Times New Roman"/>
          <w:i w:val="0"/>
          <w:iCs w:val="0"/>
          <w:color w:val="993366"/>
          <w:kern w:val="0"/>
          <w:sz w:val="16"/>
          <w:szCs w:val="16"/>
          <w:lang w:eastAsia="zh-CN" w:bidi="ar"/>
        </w:rPr>
        <w:t>INTEGER</w:t>
      </w:r>
      <w:r>
        <w:rPr>
          <w:rFonts w:ascii="Courier New" w:hAnsi="Courier New" w:eastAsia="Times New Roman"/>
          <w:i w:val="0"/>
          <w:iCs w:val="0"/>
          <w:kern w:val="0"/>
          <w:sz w:val="16"/>
          <w:szCs w:val="16"/>
          <w:lang w:eastAsia="zh-CN" w:bidi="ar"/>
        </w:rPr>
        <w:t>(0.. 65525),</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referenceLocation1-r17                      ReferenceLocation-r17,</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referenceLocation2-r17                      ReferenceLocation-r17,</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hysteresisLocation-r17                      HysteresisLocation-r17,</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timeToTrigger-r17                       </w:t>
      </w:r>
      <w:r>
        <w:rPr>
          <w:rFonts w:hint="eastAsia" w:ascii="Courier New" w:hAnsi="Courier New" w:eastAsia="Times New Roman"/>
          <w:i w:val="0"/>
          <w:iCs w:val="0"/>
          <w:kern w:val="0"/>
          <w:sz w:val="16"/>
          <w:szCs w:val="16"/>
          <w:lang w:eastAsia="zh-CN" w:bidi="ar"/>
        </w:rPr>
        <w:t xml:space="preserve"> </w:t>
      </w:r>
      <w:r>
        <w:rPr>
          <w:rFonts w:ascii="Courier New" w:hAnsi="Courier New" w:eastAsia="Times New Roman"/>
          <w:i w:val="0"/>
          <w:iCs w:val="0"/>
          <w:kern w:val="0"/>
          <w:sz w:val="16"/>
          <w:szCs w:val="16"/>
          <w:lang w:eastAsia="zh-CN" w:bidi="ar"/>
        </w:rPr>
        <w:t xml:space="preserve">    TimeToTrigger</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宋体"/>
          <w:i w:val="0"/>
          <w:iCs w:val="0"/>
          <w:sz w:val="16"/>
          <w:szCs w:val="16"/>
          <w:lang w:eastAsia="zh-CN"/>
        </w:rPr>
      </w:pPr>
      <w:r>
        <w:rPr>
          <w:rFonts w:ascii="Courier New" w:hAnsi="Courier New" w:eastAsia="Times New Roman"/>
          <w:i w:val="0"/>
          <w:iCs w:val="0"/>
          <w:kern w:val="0"/>
          <w:sz w:val="16"/>
          <w:szCs w:val="16"/>
          <w:lang w:eastAsia="zh-CN" w:bidi="ar"/>
        </w:rPr>
        <w:t xml:space="preserve">        }</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Cond</w:t>
      </w:r>
      <w:r>
        <w:rPr>
          <w:rFonts w:hint="eastAsia" w:ascii="Courier New" w:hAnsi="Courier New" w:eastAsia="Times New Roman"/>
          <w:i w:val="0"/>
          <w:iCs w:val="0"/>
          <w:kern w:val="0"/>
          <w:sz w:val="16"/>
          <w:szCs w:val="16"/>
          <w:lang w:eastAsia="zh-CN" w:bidi="ar"/>
        </w:rPr>
        <w:t>E</w:t>
      </w:r>
      <w:r>
        <w:rPr>
          <w:rFonts w:ascii="Courier New" w:hAnsi="Courier New" w:eastAsia="Times New Roman"/>
          <w:i w:val="0"/>
          <w:iCs w:val="0"/>
          <w:kern w:val="0"/>
          <w:sz w:val="16"/>
          <w:szCs w:val="16"/>
          <w:lang w:eastAsia="zh-CN" w:bidi="ar"/>
        </w:rPr>
        <w:t>ventD</w:t>
      </w:r>
      <w:r>
        <w:rPr>
          <w:rFonts w:hint="eastAsia" w:ascii="Courier New" w:hAnsi="Courier New" w:eastAsia="Times New Roman"/>
          <w:i w:val="0"/>
          <w:iCs w:val="0"/>
          <w:kern w:val="0"/>
          <w:sz w:val="16"/>
          <w:szCs w:val="16"/>
          <w:lang w:eastAsia="zh-CN" w:bidi="ar"/>
        </w:rPr>
        <w:t>2</w:t>
      </w:r>
      <w:r>
        <w:rPr>
          <w:rFonts w:ascii="Courier New" w:hAnsi="Courier New" w:eastAsia="Times New Roman"/>
          <w:i w:val="0"/>
          <w:iCs w:val="0"/>
          <w:kern w:val="0"/>
          <w:sz w:val="16"/>
          <w:szCs w:val="16"/>
          <w:lang w:eastAsia="zh-CN" w:bidi="ar"/>
        </w:rPr>
        <w:t>-r1</w:t>
      </w:r>
      <w:r>
        <w:rPr>
          <w:rFonts w:hint="eastAsia" w:ascii="Courier New" w:hAnsi="Courier New" w:eastAsia="Times New Roman"/>
          <w:i w:val="0"/>
          <w:iCs w:val="0"/>
          <w:kern w:val="0"/>
          <w:sz w:val="16"/>
          <w:szCs w:val="16"/>
          <w:lang w:eastAsia="zh-CN" w:bidi="ar"/>
        </w:rPr>
        <w:t>8</w:t>
      </w:r>
      <w:r>
        <w:rPr>
          <w:rFonts w:ascii="Courier New" w:hAnsi="Courier New" w:eastAsia="Times New Roman"/>
          <w:i w:val="0"/>
          <w:iCs w:val="0"/>
          <w:kern w:val="0"/>
          <w:sz w:val="16"/>
          <w:szCs w:val="16"/>
          <w:lang w:eastAsia="zh-CN" w:bidi="ar"/>
        </w:rPr>
        <w:t xml:space="preserve">                            </w:t>
      </w:r>
      <w:r>
        <w:rPr>
          <w:rFonts w:ascii="Courier New" w:hAnsi="Courier New" w:eastAsia="Times New Roman"/>
          <w:i w:val="0"/>
          <w:iCs w:val="0"/>
          <w:color w:val="993366"/>
          <w:kern w:val="0"/>
          <w:sz w:val="16"/>
          <w:szCs w:val="16"/>
          <w:lang w:eastAsia="zh-CN" w:bidi="ar"/>
        </w:rPr>
        <w:t>SEQUENCE</w:t>
      </w:r>
      <w:r>
        <w:rPr>
          <w:rFonts w:ascii="Courier New" w:hAnsi="Courier New" w:eastAsia="Times New Roman"/>
          <w:i w:val="0"/>
          <w:iCs w:val="0"/>
          <w:kern w:val="0"/>
          <w:sz w:val="16"/>
          <w:szCs w:val="16"/>
          <w:lang w:eastAsia="zh-CN" w:bidi="ar"/>
        </w:rPr>
        <w:t xml:space="preserve"> {</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highlight w:val="yellow"/>
          <w:lang w:eastAsia="zh-CN" w:bidi="ar"/>
        </w:rPr>
      </w:pPr>
      <w:r>
        <w:rPr>
          <w:rFonts w:ascii="Courier New" w:hAnsi="Courier New" w:eastAsia="Times New Roman"/>
          <w:i w:val="0"/>
          <w:iCs w:val="0"/>
          <w:kern w:val="0"/>
          <w:sz w:val="16"/>
          <w:szCs w:val="16"/>
          <w:highlight w:val="yellow"/>
          <w:lang w:eastAsia="zh-CN" w:bidi="ar"/>
        </w:rPr>
        <w:t xml:space="preserve">            distanceThreshFromReference1-r18            </w:t>
      </w:r>
      <w:r>
        <w:rPr>
          <w:rFonts w:ascii="Courier New" w:hAnsi="Courier New" w:eastAsia="Times New Roman"/>
          <w:i w:val="0"/>
          <w:iCs w:val="0"/>
          <w:color w:val="993366"/>
          <w:kern w:val="0"/>
          <w:sz w:val="16"/>
          <w:szCs w:val="16"/>
          <w:highlight w:val="yellow"/>
          <w:lang w:eastAsia="zh-CN" w:bidi="ar"/>
        </w:rPr>
        <w:t>INTEGER</w:t>
      </w:r>
      <w:r>
        <w:rPr>
          <w:rFonts w:ascii="Courier New" w:hAnsi="Courier New" w:eastAsia="Times New Roman"/>
          <w:i w:val="0"/>
          <w:iCs w:val="0"/>
          <w:kern w:val="0"/>
          <w:sz w:val="16"/>
          <w:szCs w:val="16"/>
          <w:highlight w:val="yellow"/>
          <w:lang w:eastAsia="zh-CN" w:bidi="ar"/>
        </w:rPr>
        <w:t>(</w:t>
      </w:r>
      <w:r>
        <w:rPr>
          <w:rFonts w:hint="eastAsia" w:ascii="Courier New" w:hAnsi="Courier New" w:eastAsia="Times New Roman"/>
          <w:i w:val="0"/>
          <w:iCs w:val="0"/>
          <w:kern w:val="0"/>
          <w:sz w:val="16"/>
          <w:szCs w:val="16"/>
          <w:highlight w:val="yellow"/>
          <w:lang w:eastAsia="zh-CN" w:bidi="ar"/>
        </w:rPr>
        <w:t>0</w:t>
      </w:r>
      <w:r>
        <w:rPr>
          <w:rFonts w:ascii="Courier New" w:hAnsi="Courier New" w:eastAsia="Times New Roman"/>
          <w:i w:val="0"/>
          <w:iCs w:val="0"/>
          <w:kern w:val="0"/>
          <w:sz w:val="16"/>
          <w:szCs w:val="16"/>
          <w:highlight w:val="yellow"/>
          <w:lang w:eastAsia="zh-CN" w:bidi="ar"/>
        </w:rPr>
        <w:t>.. 65535),</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lang w:eastAsia="zh-CN" w:bidi="ar"/>
        </w:rPr>
      </w:pPr>
      <w:r>
        <w:rPr>
          <w:rFonts w:ascii="Courier New" w:hAnsi="Courier New" w:eastAsia="Times New Roman"/>
          <w:i w:val="0"/>
          <w:iCs w:val="0"/>
          <w:kern w:val="0"/>
          <w:sz w:val="16"/>
          <w:szCs w:val="16"/>
          <w:lang w:eastAsia="zh-CN" w:bidi="ar"/>
        </w:rPr>
        <w:t xml:space="preserve">            distanceThreshFromReference2-r18            </w:t>
      </w:r>
      <w:r>
        <w:rPr>
          <w:rFonts w:ascii="Courier New" w:hAnsi="Courier New" w:eastAsia="Times New Roman"/>
          <w:i w:val="0"/>
          <w:iCs w:val="0"/>
          <w:color w:val="993366"/>
          <w:kern w:val="0"/>
          <w:sz w:val="16"/>
          <w:szCs w:val="16"/>
          <w:lang w:eastAsia="zh-CN" w:bidi="ar"/>
        </w:rPr>
        <w:t>INTEGER</w:t>
      </w:r>
      <w:r>
        <w:rPr>
          <w:rFonts w:ascii="Courier New" w:hAnsi="Courier New" w:eastAsia="Times New Roman"/>
          <w:i w:val="0"/>
          <w:iCs w:val="0"/>
          <w:kern w:val="0"/>
          <w:sz w:val="16"/>
          <w:szCs w:val="16"/>
          <w:lang w:eastAsia="zh-CN" w:bidi="ar"/>
        </w:rPr>
        <w:t>(0.. 65535),</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hysteresisLocation-r18                      HysteresisLocation-r17,</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sz w:val="16"/>
          <w:szCs w:val="16"/>
        </w:rPr>
      </w:pPr>
      <w:r>
        <w:rPr>
          <w:rFonts w:ascii="Courier New" w:hAnsi="Courier New" w:eastAsia="Times New Roman"/>
          <w:i w:val="0"/>
          <w:iCs w:val="0"/>
          <w:kern w:val="0"/>
          <w:sz w:val="16"/>
          <w:szCs w:val="16"/>
          <w:lang w:eastAsia="zh-CN" w:bidi="ar"/>
        </w:rPr>
        <w:t xml:space="preserve">            timeToTrigger-r18                       </w:t>
      </w:r>
      <w:r>
        <w:rPr>
          <w:rFonts w:hint="eastAsia" w:ascii="Courier New" w:hAnsi="Courier New" w:eastAsia="Times New Roman"/>
          <w:i w:val="0"/>
          <w:iCs w:val="0"/>
          <w:kern w:val="0"/>
          <w:sz w:val="16"/>
          <w:szCs w:val="16"/>
          <w:lang w:eastAsia="zh-CN" w:bidi="ar"/>
        </w:rPr>
        <w:t xml:space="preserve"> </w:t>
      </w:r>
      <w:r>
        <w:rPr>
          <w:rFonts w:ascii="Courier New" w:hAnsi="Courier New" w:eastAsia="Times New Roman"/>
          <w:i w:val="0"/>
          <w:iCs w:val="0"/>
          <w:kern w:val="0"/>
          <w:sz w:val="16"/>
          <w:szCs w:val="16"/>
          <w:lang w:eastAsia="zh-CN" w:bidi="ar"/>
        </w:rPr>
        <w:t xml:space="preserve">    TimeToTrigger</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lang w:eastAsia="zh-CN" w:bidi="ar"/>
        </w:rPr>
      </w:pPr>
      <w:r>
        <w:rPr>
          <w:rFonts w:ascii="Courier New" w:hAnsi="Courier New" w:eastAsia="Times New Roman"/>
          <w:i w:val="0"/>
          <w:iCs w:val="0"/>
          <w:kern w:val="0"/>
          <w:sz w:val="16"/>
          <w:szCs w:val="16"/>
          <w:lang w:eastAsia="zh-CN" w:bidi="ar"/>
        </w:rPr>
        <w:t xml:space="preserve">        }</w:t>
      </w:r>
    </w:p>
    <w:p>
      <w:pPr>
        <w:pStyle w:val="48"/>
        <w:widowControl/>
        <w:shd w:val="clear" w:color="auto" w:fill="E6E6E6"/>
        <w:overflowPunct w:val="0"/>
        <w:autoSpaceDE w:val="0"/>
        <w:autoSpaceDN w:val="0"/>
        <w:adjustRightInd w:val="0"/>
        <w:spacing w:before="0" w:beforeAutospacing="0" w:after="0" w:afterAutospacing="0"/>
        <w:textAlignment w:val="baseline"/>
        <w:rPr>
          <w:rFonts w:ascii="Courier New" w:hAnsi="Courier New" w:eastAsia="Times New Roman"/>
          <w:i w:val="0"/>
          <w:iCs w:val="0"/>
          <w:kern w:val="0"/>
          <w:sz w:val="16"/>
          <w:szCs w:val="16"/>
          <w:lang w:eastAsia="zh-CN" w:bidi="ar"/>
        </w:rPr>
      </w:pPr>
    </w:p>
    <w:p>
      <w:pPr>
        <w:tabs>
          <w:tab w:val="center" w:pos="4819"/>
        </w:tabs>
        <w:spacing w:after="180"/>
        <w:jc w:val="both"/>
        <w:rPr>
          <w:rFonts w:ascii="Times New Roman" w:hAnsi="Times New Roman" w:cs="Times New Roman"/>
          <w:i w:val="0"/>
          <w:iCs w:val="0"/>
          <w:kern w:val="0"/>
          <w:sz w:val="20"/>
          <w:szCs w:val="20"/>
        </w:rPr>
      </w:pPr>
    </w:p>
    <w:p>
      <w:pPr>
        <w:tabs>
          <w:tab w:val="center" w:pos="4819"/>
        </w:tabs>
        <w:spacing w:after="180"/>
        <w:jc w:val="both"/>
        <w:rPr>
          <w:rFonts w:ascii="Times New Roman" w:hAnsi="Times New Roman" w:cs="Times New Roman"/>
          <w:i w:val="0"/>
          <w:iCs w:val="0"/>
          <w:kern w:val="0"/>
          <w:sz w:val="20"/>
          <w:szCs w:val="20"/>
          <w:lang w:bidi="ar"/>
        </w:rPr>
      </w:pPr>
      <w:r>
        <w:rPr>
          <w:rFonts w:hint="eastAsia" w:ascii="Times New Roman" w:hAnsi="Times New Roman" w:cs="Times New Roman"/>
          <w:i w:val="0"/>
          <w:iCs w:val="0"/>
          <w:kern w:val="0"/>
          <w:sz w:val="20"/>
          <w:szCs w:val="20"/>
        </w:rPr>
        <w:t xml:space="preserve">So option 1-1 only modifies the field description of the event D1/D2 a with a clarification. </w:t>
      </w:r>
      <w:bookmarkStart w:id="24" w:name="OLE_LINK2"/>
      <w:bookmarkStart w:id="25" w:name="OLE_LINK1"/>
      <w:r>
        <w:rPr>
          <w:rFonts w:hint="eastAsia" w:ascii="Times New Roman" w:hAnsi="Times New Roman" w:cs="Times New Roman"/>
          <w:i w:val="0"/>
          <w:iCs w:val="0"/>
          <w:kern w:val="0"/>
          <w:sz w:val="20"/>
          <w:szCs w:val="20"/>
        </w:rPr>
        <w:t xml:space="preserve">For example, in the field descriptions of </w:t>
      </w:r>
      <w:r>
        <w:rPr>
          <w:rFonts w:ascii="Times New Roman" w:hAnsi="Times New Roman" w:cs="Times New Roman"/>
          <w:i w:val="0"/>
          <w:iCs w:val="0"/>
          <w:kern w:val="0"/>
          <w:sz w:val="20"/>
          <w:szCs w:val="20"/>
        </w:rPr>
        <w:t>distanceThreshFromReference1</w:t>
      </w:r>
      <w:r>
        <w:rPr>
          <w:rFonts w:hint="eastAsia" w:ascii="Times New Roman" w:hAnsi="Times New Roman" w:cs="Times New Roman"/>
          <w:i w:val="0"/>
          <w:iCs w:val="0"/>
          <w:kern w:val="0"/>
          <w:sz w:val="20"/>
          <w:szCs w:val="20"/>
        </w:rPr>
        <w:t xml:space="preserve">, it is specified that </w:t>
      </w:r>
      <w:r>
        <w:rPr>
          <w:rFonts w:ascii="Times New Roman" w:hAnsi="Times New Roman" w:cs="Times New Roman"/>
          <w:i w:val="0"/>
          <w:iCs w:val="0"/>
          <w:kern w:val="0"/>
          <w:sz w:val="20"/>
          <w:szCs w:val="20"/>
        </w:rPr>
        <w:t>“</w:t>
      </w:r>
      <w:r>
        <w:rPr>
          <w:rFonts w:hint="eastAsia" w:ascii="Times New Roman" w:hAnsi="Times New Roman" w:cs="Times New Roman"/>
          <w:i w:val="0"/>
          <w:iCs w:val="0"/>
          <w:kern w:val="0"/>
          <w:sz w:val="20"/>
          <w:szCs w:val="20"/>
        </w:rPr>
        <w:t xml:space="preserve">In NTN scenarios, when distanceThreshFromReference1 for eventD1/D2 is configured as 1, or when </w:t>
      </w:r>
      <w:r>
        <w:rPr>
          <w:rFonts w:hint="eastAsia" w:ascii="Times New Roman" w:hAnsi="Times New Roman" w:cs="Times New Roman"/>
          <w:i w:val="0"/>
          <w:iCs w:val="0"/>
          <w:kern w:val="0"/>
          <w:sz w:val="20"/>
          <w:szCs w:val="20"/>
          <w:lang w:bidi="ar"/>
        </w:rPr>
        <w:t>distanceThreshFromReference1 for condEventD1/D2 is configured as 0, the UE invalidate serving cell related configuration information and trigger MR reporting based on the neighbour cell</w:t>
      </w:r>
      <w:r>
        <w:rPr>
          <w:rFonts w:ascii="Times New Roman" w:hAnsi="Times New Roman" w:cs="Times New Roman"/>
          <w:i w:val="0"/>
          <w:iCs w:val="0"/>
          <w:kern w:val="0"/>
          <w:sz w:val="20"/>
          <w:szCs w:val="20"/>
          <w:lang w:bidi="ar"/>
        </w:rPr>
        <w:t>’</w:t>
      </w:r>
      <w:r>
        <w:rPr>
          <w:rFonts w:hint="eastAsia" w:ascii="Times New Roman" w:hAnsi="Times New Roman" w:cs="Times New Roman"/>
          <w:i w:val="0"/>
          <w:iCs w:val="0"/>
          <w:kern w:val="0"/>
          <w:sz w:val="20"/>
          <w:szCs w:val="20"/>
          <w:lang w:bidi="ar"/>
        </w:rPr>
        <w:t>s configuration only.</w:t>
      </w:r>
      <w:r>
        <w:rPr>
          <w:rFonts w:ascii="Times New Roman" w:hAnsi="Times New Roman" w:cs="Times New Roman"/>
          <w:i w:val="0"/>
          <w:iCs w:val="0"/>
          <w:kern w:val="0"/>
          <w:sz w:val="20"/>
          <w:szCs w:val="20"/>
          <w:lang w:bidi="ar"/>
        </w:rPr>
        <w:t>”</w:t>
      </w:r>
      <w:r>
        <w:rPr>
          <w:rFonts w:hint="eastAsia" w:ascii="Times New Roman" w:hAnsi="Times New Roman" w:cs="Times New Roman"/>
          <w:i w:val="0"/>
          <w:iCs w:val="0"/>
          <w:kern w:val="0"/>
          <w:sz w:val="20"/>
          <w:szCs w:val="20"/>
          <w:lang w:bidi="ar"/>
        </w:rPr>
        <w:t xml:space="preserve"> </w:t>
      </w:r>
      <w:bookmarkEnd w:id="24"/>
      <w:r>
        <w:rPr>
          <w:rFonts w:hint="eastAsia" w:ascii="Times New Roman" w:hAnsi="Times New Roman" w:cs="Times New Roman"/>
          <w:i w:val="0"/>
          <w:iCs w:val="0"/>
          <w:kern w:val="0"/>
          <w:sz w:val="20"/>
          <w:szCs w:val="20"/>
          <w:lang w:bidi="ar"/>
        </w:rPr>
        <w:t xml:space="preserve">This is equivalent to an implicit indication used to inform the UE. </w:t>
      </w:r>
    </w:p>
    <w:bookmarkEnd w:id="25"/>
    <w:p>
      <w:pPr>
        <w:tabs>
          <w:tab w:val="center" w:pos="4819"/>
        </w:tabs>
        <w:spacing w:after="180"/>
        <w:jc w:val="both"/>
        <w:rPr>
          <w:rFonts w:ascii="Times New Roman" w:hAnsi="Times New Roman" w:cs="Times New Roman"/>
          <w:b/>
          <w:bCs/>
          <w:i w:val="0"/>
          <w:iCs w:val="0"/>
          <w:kern w:val="0"/>
          <w:sz w:val="20"/>
          <w:szCs w:val="20"/>
          <w:lang w:bidi="ar"/>
        </w:rPr>
      </w:pPr>
      <w:r>
        <w:rPr>
          <w:rFonts w:hint="eastAsia" w:ascii="Times New Roman" w:hAnsi="Times New Roman" w:cs="Times New Roman"/>
          <w:b/>
          <w:bCs/>
          <w:i w:val="0"/>
          <w:iCs w:val="0"/>
          <w:kern w:val="0"/>
          <w:sz w:val="20"/>
          <w:szCs w:val="20"/>
          <w:lang w:bidi="ar"/>
        </w:rPr>
        <w:t xml:space="preserve">Observation 7: The clarification of condEvent/eventD1/D2 in the specification of R19 has no impact on legacy UEs. </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Under this condition, the area description triggering D1/D2 is as illustrated in the Figure 4:</w:t>
      </w:r>
    </w:p>
    <w:p>
      <w:pPr>
        <w:tabs>
          <w:tab w:val="center" w:pos="4819"/>
        </w:tabs>
        <w:spacing w:after="180"/>
        <w:jc w:val="center"/>
        <w:rPr>
          <w:i w:val="0"/>
          <w:iCs w:val="0"/>
        </w:rPr>
      </w:pPr>
      <w:r>
        <w:rPr>
          <w:i w:val="0"/>
          <w:iCs w:val="0"/>
        </w:rPr>
        <w:drawing>
          <wp:inline distT="0" distB="0" distL="114300" distR="114300">
            <wp:extent cx="3233420" cy="1979930"/>
            <wp:effectExtent l="0" t="0" r="5080" b="6350"/>
            <wp:docPr id="60024799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247990" name="图片 2"/>
                    <pic:cNvPicPr>
                      <a:picLocks noChangeAspect="1"/>
                    </pic:cNvPicPr>
                  </pic:nvPicPr>
                  <pic:blipFill>
                    <a:blip r:embed="rId11"/>
                    <a:stretch>
                      <a:fillRect/>
                    </a:stretch>
                  </pic:blipFill>
                  <pic:spPr>
                    <a:xfrm>
                      <a:off x="0" y="0"/>
                      <a:ext cx="3233420" cy="1979930"/>
                    </a:xfrm>
                    <a:prstGeom prst="rect">
                      <a:avLst/>
                    </a:prstGeom>
                    <a:noFill/>
                    <a:ln>
                      <a:noFill/>
                    </a:ln>
                  </pic:spPr>
                </pic:pic>
              </a:graphicData>
            </a:graphic>
          </wp:inline>
        </w:drawing>
      </w:r>
    </w:p>
    <w:p>
      <w:pPr>
        <w:tabs>
          <w:tab w:val="center" w:pos="4819"/>
        </w:tabs>
        <w:spacing w:after="180"/>
        <w:jc w:val="center"/>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Figure 4 Ignoring referenceLocation1 to define a circular entering condition</w:t>
      </w:r>
    </w:p>
    <w:p>
      <w:pPr>
        <w:tabs>
          <w:tab w:val="center" w:pos="4819"/>
        </w:tabs>
        <w:spacing w:after="180"/>
        <w:jc w:val="both"/>
        <w:rPr>
          <w:rFonts w:ascii="Times New Roman" w:hAnsi="Times New Roman" w:cs="Times New Roman"/>
          <w:i w:val="0"/>
          <w:iCs w:val="0"/>
          <w:kern w:val="0"/>
          <w:sz w:val="20"/>
          <w:szCs w:val="20"/>
          <w:lang w:bidi="ar"/>
        </w:rPr>
      </w:pPr>
      <w:r>
        <w:rPr>
          <w:rFonts w:hint="eastAsia" w:ascii="Times New Roman" w:hAnsi="Times New Roman" w:cs="Times New Roman"/>
          <w:i w:val="0"/>
          <w:iCs w:val="0"/>
          <w:kern w:val="0"/>
          <w:sz w:val="20"/>
          <w:szCs w:val="20"/>
          <w:lang w:bidi="ar"/>
        </w:rPr>
        <w:t>With this enhancement, the gNB can infer the UE located area (i.e. specific neighbor cell or beam coverage) via measurement reports indicating circular condition. The gNB can configure appropriate SMTC and gap for UE based on this measurement report.</w:t>
      </w:r>
    </w:p>
    <w:p>
      <w:pPr>
        <w:tabs>
          <w:tab w:val="center" w:pos="4819"/>
        </w:tabs>
        <w:spacing w:after="180"/>
        <w:jc w:val="center"/>
        <w:rPr>
          <w:i w:val="0"/>
          <w:iCs w:val="0"/>
        </w:rPr>
      </w:pPr>
      <w:r>
        <w:rPr>
          <w:i w:val="0"/>
          <w:iCs w:val="0"/>
        </w:rPr>
        <w:drawing>
          <wp:inline distT="0" distB="0" distL="114300" distR="114300">
            <wp:extent cx="3318510" cy="2777490"/>
            <wp:effectExtent l="0" t="0" r="6350" b="7620"/>
            <wp:docPr id="49233894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338949" name="图片 3"/>
                    <pic:cNvPicPr>
                      <a:picLocks noChangeAspect="1"/>
                    </pic:cNvPicPr>
                  </pic:nvPicPr>
                  <pic:blipFill>
                    <a:blip r:embed="rId12"/>
                    <a:stretch>
                      <a:fillRect/>
                    </a:stretch>
                  </pic:blipFill>
                  <pic:spPr>
                    <a:xfrm>
                      <a:off x="0" y="0"/>
                      <a:ext cx="3318510" cy="2777490"/>
                    </a:xfrm>
                    <a:prstGeom prst="rect">
                      <a:avLst/>
                    </a:prstGeom>
                    <a:noFill/>
                    <a:ln>
                      <a:noFill/>
                    </a:ln>
                  </pic:spPr>
                </pic:pic>
              </a:graphicData>
            </a:graphic>
          </wp:inline>
        </w:drawing>
      </w:r>
    </w:p>
    <w:p>
      <w:pPr>
        <w:tabs>
          <w:tab w:val="center" w:pos="4819"/>
        </w:tabs>
        <w:spacing w:after="180"/>
        <w:jc w:val="center"/>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Figure 5 For case2, report the area of UEs by the enhanced event D1/D2</w:t>
      </w:r>
    </w:p>
    <w:p>
      <w:pPr>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Option 1-2: n</w:t>
      </w:r>
      <w:r>
        <w:rPr>
          <w:rFonts w:ascii="Times New Roman" w:hAnsi="Times New Roman" w:cs="Times New Roman"/>
          <w:b/>
          <w:bCs/>
          <w:i w:val="0"/>
          <w:iCs w:val="0"/>
          <w:kern w:val="0"/>
          <w:sz w:val="20"/>
          <w:szCs w:val="20"/>
        </w:rPr>
        <w:t>ew event D3/D4</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lang w:bidi="ar"/>
        </w:rPr>
        <w:t xml:space="preserve">Define new Event/condEvent D3 and D4 </w:t>
      </w:r>
      <w:r>
        <w:rPr>
          <w:rFonts w:hint="eastAsia" w:ascii="Times New Roman" w:hAnsi="Times New Roman" w:cs="Times New Roman"/>
          <w:i w:val="0"/>
          <w:iCs w:val="0"/>
          <w:kern w:val="0"/>
          <w:sz w:val="20"/>
          <w:szCs w:val="20"/>
        </w:rPr>
        <w:t>aligns with Event A4 in TN</w:t>
      </w:r>
      <w:r>
        <w:rPr>
          <w:rFonts w:hint="eastAsia" w:ascii="Times New Roman" w:hAnsi="Times New Roman" w:cs="Times New Roman"/>
          <w:i w:val="0"/>
          <w:iCs w:val="0"/>
          <w:kern w:val="0"/>
          <w:sz w:val="20"/>
          <w:szCs w:val="20"/>
          <w:lang w:bidi="ar"/>
        </w:rPr>
        <w:t xml:space="preserve">, which utilize a single referenceLocation and distanceThreshFromReference to define a circular area. </w:t>
      </w:r>
      <w:r>
        <w:rPr>
          <w:rFonts w:hint="eastAsia" w:ascii="Times New Roman" w:hAnsi="Times New Roman" w:cs="Times New Roman"/>
          <w:i w:val="0"/>
          <w:iCs w:val="0"/>
          <w:kern w:val="0"/>
          <w:sz w:val="20"/>
          <w:szCs w:val="20"/>
        </w:rPr>
        <w:t xml:space="preserve">The benefit of new definition is more straightforward and clear and the design also aligns with legacy Event A specifications: Event D1/D2 aligns with Event A5 and Event D3/D4 aligns with Event A4. </w:t>
      </w:r>
    </w:p>
    <w:p>
      <w:pPr>
        <w:tabs>
          <w:tab w:val="center" w:pos="4819"/>
        </w:tabs>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Observation 8: N</w:t>
      </w:r>
      <w:r>
        <w:rPr>
          <w:rFonts w:ascii="Times New Roman" w:hAnsi="Times New Roman" w:cs="Times New Roman"/>
          <w:b/>
          <w:bCs/>
          <w:i w:val="0"/>
          <w:iCs w:val="0"/>
          <w:kern w:val="0"/>
          <w:sz w:val="20"/>
          <w:szCs w:val="20"/>
        </w:rPr>
        <w:t>ew event D3/D4</w:t>
      </w:r>
      <w:r>
        <w:rPr>
          <w:rFonts w:hint="eastAsia" w:ascii="Times New Roman" w:hAnsi="Times New Roman" w:cs="Times New Roman"/>
          <w:b/>
          <w:bCs/>
          <w:i w:val="0"/>
          <w:iCs w:val="0"/>
          <w:kern w:val="0"/>
          <w:sz w:val="20"/>
          <w:szCs w:val="20"/>
        </w:rPr>
        <w:t xml:space="preserve"> is more straightforward and clear and the design also aligns with legacy Event A specifications: Event D1/D2 aligns with Event A5 and Event D3/D4 aligns with Event A4.</w:t>
      </w:r>
    </w:p>
    <w:p>
      <w:pPr>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 xml:space="preserve">Option 2: </w:t>
      </w:r>
      <w:r>
        <w:rPr>
          <w:rFonts w:ascii="Times New Roman" w:hAnsi="Times New Roman" w:cs="Times New Roman"/>
          <w:b/>
          <w:bCs/>
          <w:i w:val="0"/>
          <w:iCs w:val="0"/>
          <w:kern w:val="0"/>
          <w:sz w:val="20"/>
          <w:szCs w:val="20"/>
        </w:rPr>
        <w:t>UAI with multiple area</w:t>
      </w:r>
      <w:r>
        <w:rPr>
          <w:rFonts w:hint="eastAsia" w:ascii="Times New Roman" w:hAnsi="Times New Roman" w:cs="Times New Roman"/>
          <w:b/>
          <w:bCs/>
          <w:i w:val="0"/>
          <w:iCs w:val="0"/>
          <w:kern w:val="0"/>
          <w:sz w:val="20"/>
          <w:szCs w:val="20"/>
        </w:rPr>
        <w:t>s</w:t>
      </w:r>
      <w:r>
        <w:rPr>
          <w:rFonts w:ascii="Times New Roman" w:hAnsi="Times New Roman" w:cs="Times New Roman"/>
          <w:b/>
          <w:bCs/>
          <w:i w:val="0"/>
          <w:iCs w:val="0"/>
          <w:kern w:val="0"/>
          <w:sz w:val="20"/>
          <w:szCs w:val="20"/>
        </w:rPr>
        <w:t xml:space="preserve"> or </w:t>
      </w:r>
      <w:r>
        <w:rPr>
          <w:rFonts w:hint="eastAsia" w:ascii="Times New Roman" w:hAnsi="Times New Roman" w:cs="Times New Roman"/>
          <w:b/>
          <w:bCs/>
          <w:i w:val="0"/>
          <w:iCs w:val="0"/>
          <w:kern w:val="0"/>
          <w:sz w:val="20"/>
          <w:szCs w:val="20"/>
        </w:rPr>
        <w:t>l</w:t>
      </w:r>
      <w:r>
        <w:rPr>
          <w:rFonts w:ascii="Times New Roman" w:hAnsi="Times New Roman" w:cs="Times New Roman"/>
          <w:b/>
          <w:bCs/>
          <w:i w:val="0"/>
          <w:iCs w:val="0"/>
          <w:kern w:val="0"/>
          <w:sz w:val="20"/>
          <w:szCs w:val="20"/>
        </w:rPr>
        <w:t>ocation</w:t>
      </w:r>
      <w:r>
        <w:rPr>
          <w:rFonts w:hint="eastAsia" w:ascii="Times New Roman" w:hAnsi="Times New Roman" w:cs="Times New Roman"/>
          <w:b/>
          <w:bCs/>
          <w:i w:val="0"/>
          <w:iCs w:val="0"/>
          <w:kern w:val="0"/>
          <w:sz w:val="20"/>
          <w:szCs w:val="20"/>
        </w:rPr>
        <w:t>s</w:t>
      </w:r>
    </w:p>
    <w:p>
      <w:pPr>
        <w:tabs>
          <w:tab w:val="center" w:pos="4819"/>
        </w:tabs>
        <w:spacing w:after="180"/>
        <w:jc w:val="both"/>
        <w:rPr>
          <w:rFonts w:ascii="Times New Roman" w:hAnsi="Times New Roman" w:cs="Times New Roman"/>
          <w:i w:val="0"/>
          <w:iCs w:val="0"/>
          <w:kern w:val="0"/>
          <w:sz w:val="20"/>
          <w:szCs w:val="20"/>
          <w:lang w:bidi="ar"/>
        </w:rPr>
      </w:pPr>
      <w:r>
        <w:rPr>
          <w:rFonts w:hint="eastAsia" w:ascii="Times New Roman" w:hAnsi="Times New Roman" w:cs="Times New Roman"/>
          <w:i w:val="0"/>
          <w:iCs w:val="0"/>
          <w:kern w:val="0"/>
          <w:sz w:val="20"/>
          <w:szCs w:val="20"/>
          <w:lang w:bidi="ar"/>
        </w:rPr>
        <w:t xml:space="preserve">Configure multiple areas or referenceLocation points in OtherConfig. The gNB obtains information about the area in which the UE is located or identifies which reference location is closest via UEAssistanceInformation. </w:t>
      </w:r>
      <w:r>
        <w:rPr>
          <w:rFonts w:ascii="Times New Roman" w:hAnsi="Times New Roman" w:cs="Times New Roman"/>
          <w:i w:val="0"/>
          <w:iCs w:val="0"/>
          <w:kern w:val="0"/>
          <w:sz w:val="20"/>
          <w:szCs w:val="20"/>
          <w:lang w:bidi="ar"/>
        </w:rPr>
        <w:t>The network configures</w:t>
      </w:r>
      <w:r>
        <w:rPr>
          <w:rFonts w:hint="eastAsia" w:ascii="Times New Roman" w:hAnsi="Times New Roman" w:cs="Times New Roman"/>
          <w:i w:val="0"/>
          <w:iCs w:val="0"/>
          <w:kern w:val="0"/>
          <w:sz w:val="20"/>
          <w:szCs w:val="20"/>
          <w:lang w:bidi="ar"/>
        </w:rPr>
        <w:t xml:space="preserve"> </w:t>
      </w:r>
      <w:r>
        <w:rPr>
          <w:rFonts w:ascii="Times New Roman" w:hAnsi="Times New Roman" w:cs="Times New Roman"/>
          <w:i w:val="0"/>
          <w:iCs w:val="0"/>
          <w:kern w:val="0"/>
          <w:sz w:val="20"/>
          <w:szCs w:val="20"/>
          <w:lang w:bidi="ar"/>
        </w:rPr>
        <w:t>"area list</w:t>
      </w:r>
      <w:bookmarkStart w:id="26" w:name="OLE_LINK31"/>
      <w:r>
        <w:rPr>
          <w:rFonts w:ascii="Times New Roman" w:hAnsi="Times New Roman" w:cs="Times New Roman"/>
          <w:i w:val="0"/>
          <w:iCs w:val="0"/>
          <w:kern w:val="0"/>
          <w:sz w:val="20"/>
          <w:szCs w:val="20"/>
          <w:lang w:bidi="ar"/>
        </w:rPr>
        <w:t>"</w:t>
      </w:r>
      <w:bookmarkEnd w:id="26"/>
      <w:r>
        <w:rPr>
          <w:rFonts w:hint="eastAsia" w:ascii="Times New Roman" w:hAnsi="Times New Roman" w:cs="Times New Roman"/>
          <w:i w:val="0"/>
          <w:iCs w:val="0"/>
          <w:kern w:val="0"/>
          <w:sz w:val="20"/>
          <w:szCs w:val="20"/>
          <w:lang w:bidi="ar"/>
        </w:rPr>
        <w:t xml:space="preserve"> to indicate each </w:t>
      </w:r>
      <w:bookmarkStart w:id="27" w:name="OLE_LINK34"/>
      <w:r>
        <w:rPr>
          <w:rFonts w:ascii="Times New Roman" w:hAnsi="Times New Roman" w:cs="Times New Roman"/>
          <w:i w:val="0"/>
          <w:iCs w:val="0"/>
          <w:kern w:val="0"/>
          <w:sz w:val="20"/>
          <w:szCs w:val="20"/>
          <w:lang w:bidi="ar"/>
        </w:rPr>
        <w:t>neighbo</w:t>
      </w:r>
      <w:r>
        <w:rPr>
          <w:rFonts w:hint="eastAsia" w:ascii="Times New Roman" w:hAnsi="Times New Roman" w:cs="Times New Roman"/>
          <w:i w:val="0"/>
          <w:iCs w:val="0"/>
          <w:kern w:val="0"/>
          <w:sz w:val="20"/>
          <w:szCs w:val="20"/>
          <w:lang w:bidi="ar"/>
        </w:rPr>
        <w:t>u</w:t>
      </w:r>
      <w:r>
        <w:rPr>
          <w:rFonts w:ascii="Times New Roman" w:hAnsi="Times New Roman" w:cs="Times New Roman"/>
          <w:i w:val="0"/>
          <w:iCs w:val="0"/>
          <w:kern w:val="0"/>
          <w:sz w:val="20"/>
          <w:szCs w:val="20"/>
          <w:lang w:bidi="ar"/>
        </w:rPr>
        <w:t>r</w:t>
      </w:r>
      <w:r>
        <w:rPr>
          <w:rFonts w:hint="eastAsia" w:ascii="Times New Roman" w:hAnsi="Times New Roman" w:cs="Times New Roman"/>
          <w:i w:val="0"/>
          <w:iCs w:val="0"/>
          <w:kern w:val="0"/>
          <w:sz w:val="20"/>
          <w:szCs w:val="20"/>
          <w:lang w:bidi="ar"/>
        </w:rPr>
        <w:t xml:space="preserve"> </w:t>
      </w:r>
      <w:bookmarkEnd w:id="27"/>
      <w:r>
        <w:rPr>
          <w:rFonts w:hint="eastAsia" w:ascii="Times New Roman" w:hAnsi="Times New Roman" w:cs="Times New Roman"/>
          <w:i w:val="0"/>
          <w:iCs w:val="0"/>
          <w:kern w:val="0"/>
          <w:sz w:val="20"/>
          <w:szCs w:val="20"/>
          <w:lang w:bidi="ar"/>
        </w:rPr>
        <w:t xml:space="preserve">cell coverage or </w:t>
      </w:r>
      <w:r>
        <w:rPr>
          <w:rFonts w:ascii="Times New Roman" w:hAnsi="Times New Roman" w:cs="Times New Roman"/>
          <w:i w:val="0"/>
          <w:iCs w:val="0"/>
          <w:kern w:val="0"/>
          <w:sz w:val="20"/>
          <w:szCs w:val="20"/>
          <w:lang w:bidi="ar"/>
        </w:rPr>
        <w:t>"</w:t>
      </w:r>
      <w:bookmarkStart w:id="28" w:name="OLE_LINK33"/>
      <w:r>
        <w:rPr>
          <w:rFonts w:hint="eastAsia" w:ascii="Times New Roman" w:hAnsi="Times New Roman" w:cs="Times New Roman"/>
          <w:i w:val="0"/>
          <w:iCs w:val="0"/>
          <w:kern w:val="0"/>
          <w:sz w:val="20"/>
          <w:szCs w:val="20"/>
          <w:lang w:bidi="ar"/>
        </w:rPr>
        <w:t>reference location</w:t>
      </w:r>
      <w:bookmarkEnd w:id="28"/>
      <w:r>
        <w:rPr>
          <w:rFonts w:hint="eastAsia" w:ascii="Times New Roman" w:hAnsi="Times New Roman" w:cs="Times New Roman"/>
          <w:i w:val="0"/>
          <w:iCs w:val="0"/>
          <w:kern w:val="0"/>
          <w:sz w:val="20"/>
          <w:szCs w:val="20"/>
          <w:lang w:bidi="ar"/>
        </w:rPr>
        <w:t xml:space="preserve"> list</w:t>
      </w:r>
      <w:r>
        <w:rPr>
          <w:rFonts w:ascii="Times New Roman" w:hAnsi="Times New Roman" w:cs="Times New Roman"/>
          <w:i w:val="0"/>
          <w:iCs w:val="0"/>
          <w:kern w:val="0"/>
          <w:sz w:val="20"/>
          <w:szCs w:val="20"/>
          <w:lang w:bidi="ar"/>
        </w:rPr>
        <w:t>"</w:t>
      </w:r>
      <w:r>
        <w:rPr>
          <w:rFonts w:hint="eastAsia" w:ascii="Times New Roman" w:hAnsi="Times New Roman" w:cs="Times New Roman"/>
          <w:i w:val="0"/>
          <w:iCs w:val="0"/>
          <w:kern w:val="0"/>
          <w:sz w:val="20"/>
          <w:szCs w:val="20"/>
          <w:lang w:bidi="ar"/>
        </w:rPr>
        <w:t xml:space="preserve"> to describe the </w:t>
      </w:r>
      <w:r>
        <w:rPr>
          <w:rFonts w:ascii="Times New Roman" w:hAnsi="Times New Roman" w:cs="Times New Roman"/>
          <w:i w:val="0"/>
          <w:iCs w:val="0"/>
          <w:kern w:val="0"/>
          <w:sz w:val="20"/>
          <w:szCs w:val="20"/>
          <w:lang w:bidi="ar"/>
        </w:rPr>
        <w:t>neighbo</w:t>
      </w:r>
      <w:r>
        <w:rPr>
          <w:rFonts w:hint="eastAsia" w:ascii="Times New Roman" w:hAnsi="Times New Roman" w:cs="Times New Roman"/>
          <w:i w:val="0"/>
          <w:iCs w:val="0"/>
          <w:kern w:val="0"/>
          <w:sz w:val="20"/>
          <w:szCs w:val="20"/>
          <w:lang w:bidi="ar"/>
        </w:rPr>
        <w:t>u</w:t>
      </w:r>
      <w:r>
        <w:rPr>
          <w:rFonts w:ascii="Times New Roman" w:hAnsi="Times New Roman" w:cs="Times New Roman"/>
          <w:i w:val="0"/>
          <w:iCs w:val="0"/>
          <w:kern w:val="0"/>
          <w:sz w:val="20"/>
          <w:szCs w:val="20"/>
          <w:lang w:bidi="ar"/>
        </w:rPr>
        <w:t>r</w:t>
      </w:r>
      <w:r>
        <w:rPr>
          <w:rFonts w:hint="eastAsia" w:ascii="Times New Roman" w:hAnsi="Times New Roman" w:cs="Times New Roman"/>
          <w:i w:val="0"/>
          <w:iCs w:val="0"/>
          <w:kern w:val="0"/>
          <w:sz w:val="20"/>
          <w:szCs w:val="20"/>
          <w:lang w:bidi="ar"/>
        </w:rPr>
        <w:t xml:space="preserve"> cell center. The UE determines the located area or top-N nearest reference location and reports the ID list to the network via UAI. The network performs refined configurations for SMTC and gap based on this information. If the UE’s current area changes from the last report, it triggers a subsequent report of new located arealist or top-N nearest reference locations </w:t>
      </w:r>
      <w:r>
        <w:rPr>
          <w:rFonts w:ascii="Times New Roman" w:hAnsi="Times New Roman" w:cs="Times New Roman"/>
          <w:i w:val="0"/>
          <w:iCs w:val="0"/>
          <w:kern w:val="0"/>
          <w:sz w:val="20"/>
          <w:szCs w:val="20"/>
          <w:lang w:bidi="ar"/>
        </w:rPr>
        <w:t>change</w:t>
      </w:r>
      <w:r>
        <w:rPr>
          <w:rFonts w:hint="eastAsia" w:ascii="Times New Roman" w:hAnsi="Times New Roman" w:cs="Times New Roman"/>
          <w:i w:val="0"/>
          <w:iCs w:val="0"/>
          <w:kern w:val="0"/>
          <w:sz w:val="20"/>
          <w:szCs w:val="20"/>
          <w:lang w:bidi="ar"/>
        </w:rPr>
        <w:t xml:space="preserve"> via UAI. </w:t>
      </w:r>
    </w:p>
    <w:p>
      <w:pPr>
        <w:tabs>
          <w:tab w:val="center" w:pos="4819"/>
        </w:tabs>
        <w:spacing w:after="180"/>
        <w:jc w:val="center"/>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drawing>
          <wp:inline distT="0" distB="0" distL="114300" distR="114300">
            <wp:extent cx="6116955" cy="2352675"/>
            <wp:effectExtent l="0" t="0" r="3810" b="63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3"/>
                    <a:stretch>
                      <a:fillRect/>
                    </a:stretch>
                  </pic:blipFill>
                  <pic:spPr>
                    <a:xfrm>
                      <a:off x="0" y="0"/>
                      <a:ext cx="6116955" cy="2352675"/>
                    </a:xfrm>
                    <a:prstGeom prst="rect">
                      <a:avLst/>
                    </a:prstGeom>
                    <a:noFill/>
                    <a:ln>
                      <a:noFill/>
                    </a:ln>
                  </pic:spPr>
                </pic:pic>
              </a:graphicData>
            </a:graphic>
          </wp:inline>
        </w:drawing>
      </w:r>
    </w:p>
    <w:p>
      <w:pPr>
        <w:spacing w:after="180"/>
        <w:jc w:val="center"/>
        <w:rPr>
          <w:rFonts w:ascii="Times New Roman" w:hAnsi="Times New Roman" w:cs="Times New Roman"/>
          <w:b/>
          <w:bCs/>
          <w:i w:val="0"/>
          <w:iCs w:val="0"/>
          <w:kern w:val="0"/>
          <w:sz w:val="20"/>
          <w:szCs w:val="20"/>
        </w:rPr>
      </w:pPr>
      <w:r>
        <w:rPr>
          <w:rFonts w:hint="eastAsia" w:ascii="Times New Roman" w:hAnsi="Times New Roman" w:cs="Times New Roman"/>
          <w:i w:val="0"/>
          <w:iCs w:val="0"/>
          <w:kern w:val="0"/>
          <w:sz w:val="20"/>
          <w:szCs w:val="20"/>
        </w:rPr>
        <w:t>Figure 6: UE reporting multi area/reference location relationships via UAI</w:t>
      </w:r>
    </w:p>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Below we summarize the pros and cons and applicability of different solutions:</w:t>
      </w:r>
    </w:p>
    <w:tbl>
      <w:tblPr>
        <w:tblStyle w:val="53"/>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3987"/>
        <w:gridCol w:w="3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jc w:val="both"/>
              <w:rPr>
                <w:b/>
                <w:bCs/>
                <w:i w:val="0"/>
                <w:iCs w:val="0"/>
              </w:rPr>
            </w:pPr>
          </w:p>
        </w:tc>
        <w:tc>
          <w:tcPr>
            <w:tcW w:w="3987" w:type="dxa"/>
          </w:tcPr>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Pros</w:t>
            </w:r>
          </w:p>
        </w:tc>
        <w:tc>
          <w:tcPr>
            <w:tcW w:w="3896" w:type="dxa"/>
          </w:tcPr>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tabs>
                <w:tab w:val="center" w:pos="4819"/>
              </w:tabs>
              <w:spacing w:after="180"/>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 xml:space="preserve">Option 1: </w:t>
            </w:r>
            <w:r>
              <w:rPr>
                <w:rFonts w:ascii="Times New Roman" w:hAnsi="Times New Roman" w:cs="Times New Roman"/>
                <w:i w:val="0"/>
                <w:iCs w:val="0"/>
                <w:kern w:val="0"/>
                <w:sz w:val="20"/>
                <w:szCs w:val="20"/>
              </w:rPr>
              <w:t>Measurement report based solution</w:t>
            </w:r>
          </w:p>
        </w:tc>
        <w:tc>
          <w:tcPr>
            <w:tcW w:w="3987" w:type="dxa"/>
          </w:tcPr>
          <w:p>
            <w:pPr>
              <w:tabs>
                <w:tab w:val="center" w:pos="4819"/>
              </w:tabs>
              <w:spacing w:after="0"/>
              <w:jc w:val="both"/>
              <w:rPr>
                <w:rFonts w:ascii="Times New Roman" w:hAnsi="Times New Roman" w:cs="Times New Roman"/>
                <w:i w:val="0"/>
                <w:iCs w:val="0"/>
                <w:kern w:val="0"/>
                <w:sz w:val="20"/>
                <w:szCs w:val="20"/>
                <w:lang w:val="fr-FR"/>
              </w:rPr>
            </w:pPr>
            <w:bookmarkStart w:id="29" w:name="OLE_LINK27"/>
            <w:bookmarkStart w:id="30" w:name="OLE_LINK29"/>
            <w:r>
              <w:rPr>
                <w:rFonts w:hint="eastAsia" w:ascii="Times New Roman" w:hAnsi="Times New Roman" w:cs="Times New Roman"/>
                <w:i w:val="0"/>
                <w:iCs w:val="0"/>
                <w:kern w:val="0"/>
                <w:sz w:val="20"/>
                <w:szCs w:val="20"/>
                <w:lang w:val="fr-FR"/>
              </w:rPr>
              <w:t>Option 1-1</w:t>
            </w:r>
            <w:bookmarkEnd w:id="29"/>
            <w:r>
              <w:rPr>
                <w:rFonts w:hint="eastAsia" w:ascii="Times New Roman" w:hAnsi="Times New Roman" w:cs="Times New Roman"/>
                <w:i w:val="0"/>
                <w:iCs w:val="0"/>
                <w:kern w:val="0"/>
                <w:sz w:val="20"/>
                <w:szCs w:val="20"/>
                <w:lang w:val="fr-FR"/>
              </w:rPr>
              <w:t>: event D1/D2 enhancement</w:t>
            </w:r>
          </w:p>
          <w:bookmarkEnd w:id="30"/>
          <w:p>
            <w:pPr>
              <w:numPr>
                <w:ilvl w:val="0"/>
                <w:numId w:val="19"/>
              </w:numPr>
              <w:tabs>
                <w:tab w:val="center" w:pos="4819"/>
              </w:tabs>
              <w:spacing w:after="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Only minor change to IE descriptions</w:t>
            </w:r>
            <w:r>
              <w:rPr>
                <w:rFonts w:hint="eastAsia" w:ascii="Times New Roman" w:hAnsi="Times New Roman" w:cs="Times New Roman"/>
                <w:i w:val="0"/>
                <w:iCs w:val="0"/>
                <w:kern w:val="0"/>
                <w:sz w:val="20"/>
                <w:szCs w:val="20"/>
              </w:rPr>
              <w:br w:type="textWrapping"/>
            </w:r>
            <w:r>
              <w:rPr>
                <w:rFonts w:hint="eastAsia" w:ascii="Times New Roman" w:hAnsi="Times New Roman" w:cs="Times New Roman"/>
                <w:i w:val="0"/>
                <w:iCs w:val="0"/>
                <w:kern w:val="0"/>
                <w:sz w:val="20"/>
                <w:szCs w:val="20"/>
              </w:rPr>
              <w:t>(2) No impacts on legacy UEs due to the irrelevance of the 50m threshold in NTN.</w:t>
            </w:r>
          </w:p>
          <w:p>
            <w:pPr>
              <w:tabs>
                <w:tab w:val="center" w:pos="4819"/>
              </w:tabs>
              <w:spacing w:after="0"/>
              <w:jc w:val="both"/>
              <w:rPr>
                <w:rFonts w:ascii="Times New Roman" w:hAnsi="Times New Roman" w:cs="Times New Roman"/>
                <w:i w:val="0"/>
                <w:iCs w:val="0"/>
                <w:kern w:val="0"/>
                <w:sz w:val="20"/>
                <w:szCs w:val="20"/>
              </w:rPr>
            </w:pPr>
          </w:p>
          <w:p>
            <w:pPr>
              <w:tabs>
                <w:tab w:val="center" w:pos="4819"/>
              </w:tabs>
              <w:spacing w:after="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Option 1-2: new event D3/D4</w:t>
            </w:r>
          </w:p>
          <w:p>
            <w:pPr>
              <w:tabs>
                <w:tab w:val="center" w:pos="4819"/>
              </w:tabs>
              <w:spacing w:after="0" w:line="279" w:lineRule="auto"/>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The design is straightforward and aligns with event A specifications:</w:t>
            </w:r>
          </w:p>
          <w:p>
            <w:pPr>
              <w:tabs>
                <w:tab w:val="center" w:pos="4819"/>
              </w:tabs>
              <w:spacing w:after="0" w:line="279" w:lineRule="auto"/>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Event D1/D2 aligns with Event A5;</w:t>
            </w:r>
          </w:p>
          <w:p>
            <w:pPr>
              <w:tabs>
                <w:tab w:val="center" w:pos="4819"/>
              </w:tabs>
              <w:spacing w:after="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Event D3/D4 aligns with Event A4.</w:t>
            </w:r>
          </w:p>
        </w:tc>
        <w:tc>
          <w:tcPr>
            <w:tcW w:w="3896" w:type="dxa"/>
          </w:tcPr>
          <w:p>
            <w:pPr>
              <w:tabs>
                <w:tab w:val="center" w:pos="4819"/>
              </w:tabs>
              <w:spacing w:after="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Option 1-1: event D1/D2 enhancement</w:t>
            </w:r>
          </w:p>
          <w:p>
            <w:pPr>
              <w:widowControl/>
              <w:tabs>
                <w:tab w:val="center" w:pos="4819"/>
              </w:tabs>
              <w:spacing w:after="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UEs located at the edge of multiple target areas may trigger multiple measurement reports (MRs), leading to excessive SMTC/gap reconfiguration.</w:t>
            </w:r>
          </w:p>
          <w:p>
            <w:pPr>
              <w:widowControl/>
              <w:tabs>
                <w:tab w:val="center" w:pos="4819"/>
              </w:tabs>
              <w:spacing w:after="0"/>
              <w:jc w:val="both"/>
              <w:rPr>
                <w:rFonts w:ascii="Times New Roman" w:hAnsi="Times New Roman" w:cs="Times New Roman"/>
                <w:i w:val="0"/>
                <w:iCs w:val="0"/>
                <w:kern w:val="0"/>
                <w:sz w:val="20"/>
                <w:szCs w:val="20"/>
              </w:rPr>
            </w:pPr>
          </w:p>
          <w:p>
            <w:pPr>
              <w:widowControl/>
              <w:tabs>
                <w:tab w:val="center" w:pos="4819"/>
              </w:tabs>
              <w:spacing w:after="0"/>
              <w:jc w:val="both"/>
              <w:rPr>
                <w:rFonts w:ascii="Times New Roman" w:hAnsi="Times New Roman" w:cs="Times New Roman"/>
                <w:i w:val="0"/>
                <w:iCs w:val="0"/>
                <w:kern w:val="0"/>
                <w:sz w:val="20"/>
                <w:szCs w:val="20"/>
              </w:rPr>
            </w:pPr>
            <w:r>
              <w:rPr>
                <w:rFonts w:ascii="Times New Roman" w:hAnsi="Times New Roman" w:cs="Times New Roman"/>
                <w:i w:val="0"/>
                <w:iCs w:val="0"/>
                <w:kern w:val="0"/>
                <w:sz w:val="20"/>
                <w:szCs w:val="20"/>
              </w:rPr>
              <w:t>Option 1-</w:t>
            </w:r>
            <w:r>
              <w:rPr>
                <w:rFonts w:hint="eastAsia" w:ascii="Times New Roman" w:hAnsi="Times New Roman" w:cs="Times New Roman"/>
                <w:i w:val="0"/>
                <w:iCs w:val="0"/>
                <w:kern w:val="0"/>
                <w:sz w:val="20"/>
                <w:szCs w:val="20"/>
              </w:rPr>
              <w:t>2</w:t>
            </w:r>
            <w:r>
              <w:rPr>
                <w:rFonts w:ascii="Times New Roman" w:hAnsi="Times New Roman" w:cs="Times New Roman"/>
                <w:i w:val="0"/>
                <w:iCs w:val="0"/>
                <w:kern w:val="0"/>
                <w:sz w:val="20"/>
                <w:szCs w:val="20"/>
              </w:rPr>
              <w:t xml:space="preserve">: </w:t>
            </w:r>
            <w:r>
              <w:rPr>
                <w:rFonts w:hint="eastAsia" w:ascii="Times New Roman" w:hAnsi="Times New Roman" w:cs="Times New Roman"/>
                <w:i w:val="0"/>
                <w:iCs w:val="0"/>
                <w:kern w:val="0"/>
                <w:sz w:val="20"/>
                <w:szCs w:val="20"/>
              </w:rPr>
              <w:t xml:space="preserve">new </w:t>
            </w:r>
            <w:r>
              <w:rPr>
                <w:rFonts w:ascii="Times New Roman" w:hAnsi="Times New Roman" w:cs="Times New Roman"/>
                <w:i w:val="0"/>
                <w:iCs w:val="0"/>
                <w:kern w:val="0"/>
                <w:sz w:val="20"/>
                <w:szCs w:val="20"/>
              </w:rPr>
              <w:t>event D</w:t>
            </w:r>
            <w:r>
              <w:rPr>
                <w:rFonts w:hint="eastAsia" w:ascii="Times New Roman" w:hAnsi="Times New Roman" w:cs="Times New Roman"/>
                <w:i w:val="0"/>
                <w:iCs w:val="0"/>
                <w:kern w:val="0"/>
                <w:sz w:val="20"/>
                <w:szCs w:val="20"/>
              </w:rPr>
              <w:t>3</w:t>
            </w:r>
            <w:r>
              <w:rPr>
                <w:rFonts w:ascii="Times New Roman" w:hAnsi="Times New Roman" w:cs="Times New Roman"/>
                <w:i w:val="0"/>
                <w:iCs w:val="0"/>
                <w:kern w:val="0"/>
                <w:sz w:val="20"/>
                <w:szCs w:val="20"/>
              </w:rPr>
              <w:t>/D</w:t>
            </w:r>
            <w:r>
              <w:rPr>
                <w:rFonts w:hint="eastAsia" w:ascii="Times New Roman" w:hAnsi="Times New Roman" w:cs="Times New Roman"/>
                <w:i w:val="0"/>
                <w:iCs w:val="0"/>
                <w:kern w:val="0"/>
                <w:sz w:val="20"/>
                <w:szCs w:val="20"/>
              </w:rPr>
              <w:t>4</w:t>
            </w:r>
          </w:p>
          <w:p>
            <w:pPr>
              <w:widowControl/>
              <w:tabs>
                <w:tab w:val="center" w:pos="4819"/>
              </w:tabs>
              <w:spacing w:after="0"/>
              <w:jc w:val="both"/>
              <w:rPr>
                <w:rFonts w:ascii="Times New Roman" w:hAnsi="Times New Roman" w:cs="Times New Roman"/>
                <w:i w:val="0"/>
                <w:iCs w:val="0"/>
                <w:kern w:val="0"/>
                <w:sz w:val="20"/>
                <w:szCs w:val="20"/>
                <w:lang w:val="en-US"/>
              </w:rPr>
            </w:pPr>
            <w:r>
              <w:rPr>
                <w:rFonts w:hint="eastAsia" w:ascii="Times New Roman" w:hAnsi="Times New Roman" w:cs="Times New Roman"/>
                <w:i w:val="0"/>
                <w:iCs w:val="0"/>
                <w:kern w:val="0"/>
                <w:sz w:val="20"/>
                <w:szCs w:val="20"/>
              </w:rPr>
              <w:t>This involves more modifications. (i.e. new definition of event D in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tabs>
                <w:tab w:val="center" w:pos="4819"/>
              </w:tabs>
              <w:spacing w:after="18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 xml:space="preserve">Option 2: UAI with multiple locations or areas </w:t>
            </w:r>
          </w:p>
        </w:tc>
        <w:tc>
          <w:tcPr>
            <w:tcW w:w="3987" w:type="dxa"/>
          </w:tcPr>
          <w:p>
            <w:pPr>
              <w:tabs>
                <w:tab w:val="center" w:pos="4819"/>
              </w:tabs>
              <w:spacing w:after="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Utilizing a single UAI reporting for multiple locations/areas can reduce signalling interactions.</w:t>
            </w:r>
          </w:p>
        </w:tc>
        <w:tc>
          <w:tcPr>
            <w:tcW w:w="3896" w:type="dxa"/>
          </w:tcPr>
          <w:p>
            <w:pPr>
              <w:tabs>
                <w:tab w:val="center" w:pos="4819"/>
              </w:tabs>
              <w:spacing w:after="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Compared to Option 1:</w:t>
            </w:r>
            <w:r>
              <w:rPr>
                <w:rFonts w:hint="eastAsia" w:ascii="Times New Roman" w:hAnsi="Times New Roman" w:cs="Times New Roman"/>
                <w:i w:val="0"/>
                <w:iCs w:val="0"/>
                <w:kern w:val="0"/>
                <w:sz w:val="20"/>
                <w:szCs w:val="20"/>
              </w:rPr>
              <w:br w:type="textWrapping"/>
            </w:r>
            <w:r>
              <w:rPr>
                <w:rFonts w:hint="eastAsia" w:ascii="Times New Roman" w:hAnsi="Times New Roman" w:cs="Times New Roman"/>
                <w:i w:val="0"/>
                <w:iCs w:val="0"/>
                <w:kern w:val="0"/>
                <w:sz w:val="20"/>
                <w:szCs w:val="20"/>
              </w:rPr>
              <w:t>(1) Cannot associate with HO or CHO directly.</w:t>
            </w:r>
          </w:p>
          <w:p>
            <w:pPr>
              <w:tabs>
                <w:tab w:val="center" w:pos="4819"/>
              </w:tabs>
              <w:spacing w:after="0"/>
              <w:jc w:val="both"/>
              <w:rPr>
                <w:rFonts w:ascii="Times New Roman" w:hAnsi="Times New Roman" w:cs="Times New Roman"/>
                <w:i w:val="0"/>
                <w:iCs w:val="0"/>
                <w:kern w:val="0"/>
                <w:sz w:val="20"/>
                <w:szCs w:val="20"/>
              </w:rPr>
            </w:pPr>
            <w:r>
              <w:rPr>
                <w:rFonts w:hint="eastAsia" w:ascii="Times New Roman" w:hAnsi="Times New Roman" w:cs="Times New Roman"/>
                <w:i w:val="0"/>
                <w:iCs w:val="0"/>
                <w:kern w:val="0"/>
                <w:sz w:val="20"/>
                <w:szCs w:val="20"/>
              </w:rPr>
              <w:t>(2) It is hard to associate location/area with frequency.</w:t>
            </w:r>
          </w:p>
        </w:tc>
      </w:tr>
    </w:tbl>
    <w:p>
      <w:pPr>
        <w:spacing w:after="180"/>
        <w:jc w:val="both"/>
        <w:rPr>
          <w:rFonts w:ascii="Times New Roman" w:hAnsi="Times New Roman" w:cs="Times New Roman"/>
          <w:b/>
          <w:bCs/>
          <w:i w:val="0"/>
          <w:iCs w:val="0"/>
          <w:kern w:val="0"/>
          <w:sz w:val="20"/>
          <w:szCs w:val="20"/>
        </w:rPr>
      </w:pPr>
    </w:p>
    <w:p>
      <w:pPr>
        <w:spacing w:after="180"/>
        <w:jc w:val="both"/>
        <w:rPr>
          <w:rFonts w:ascii="Times New Roman" w:hAnsi="Times New Roman" w:cs="Times New Roman"/>
          <w:b/>
          <w:bCs/>
          <w:i w:val="0"/>
          <w:iCs w:val="0"/>
          <w:kern w:val="0"/>
          <w:sz w:val="20"/>
          <w:szCs w:val="20"/>
        </w:rPr>
      </w:pPr>
      <w:r>
        <w:rPr>
          <w:rFonts w:ascii="Times New Roman" w:hAnsi="Times New Roman" w:cs="Times New Roman"/>
          <w:b/>
          <w:bCs/>
          <w:i w:val="0"/>
          <w:iCs w:val="0"/>
          <w:kern w:val="0"/>
          <w:sz w:val="20"/>
          <w:szCs w:val="20"/>
        </w:rPr>
        <w:t xml:space="preserve">Proposal </w:t>
      </w:r>
      <w:r>
        <w:rPr>
          <w:rFonts w:hint="eastAsia" w:ascii="Times New Roman" w:hAnsi="Times New Roman" w:cs="Times New Roman"/>
          <w:b/>
          <w:bCs/>
          <w:i w:val="0"/>
          <w:iCs w:val="0"/>
          <w:kern w:val="0"/>
          <w:sz w:val="20"/>
          <w:szCs w:val="20"/>
        </w:rPr>
        <w:t>2</w:t>
      </w:r>
      <w:r>
        <w:rPr>
          <w:rFonts w:ascii="Times New Roman" w:hAnsi="Times New Roman" w:cs="Times New Roman"/>
          <w:b/>
          <w:bCs/>
          <w:i w:val="0"/>
          <w:iCs w:val="0"/>
          <w:kern w:val="0"/>
          <w:sz w:val="20"/>
          <w:szCs w:val="20"/>
        </w:rPr>
        <w:t xml:space="preserve">: RAN2 to consider the following options for </w:t>
      </w:r>
      <w:r>
        <w:rPr>
          <w:rFonts w:hint="eastAsia" w:ascii="Times New Roman" w:hAnsi="Times New Roman" w:cs="Times New Roman"/>
          <w:b/>
          <w:bCs/>
          <w:i w:val="0"/>
          <w:iCs w:val="0"/>
          <w:kern w:val="0"/>
          <w:sz w:val="20"/>
          <w:szCs w:val="20"/>
        </w:rPr>
        <w:t xml:space="preserve">enhanced </w:t>
      </w:r>
      <w:r>
        <w:rPr>
          <w:rFonts w:ascii="Times New Roman" w:hAnsi="Times New Roman" w:cs="Times New Roman"/>
          <w:b/>
          <w:bCs/>
          <w:i w:val="0"/>
          <w:iCs w:val="0"/>
          <w:kern w:val="0"/>
          <w:sz w:val="20"/>
          <w:szCs w:val="20"/>
        </w:rPr>
        <w:t>SMTCs</w:t>
      </w:r>
      <w:r>
        <w:rPr>
          <w:rFonts w:hint="eastAsia" w:ascii="Times New Roman" w:hAnsi="Times New Roman" w:cs="Times New Roman"/>
          <w:b/>
          <w:bCs/>
          <w:i w:val="0"/>
          <w:iCs w:val="0"/>
          <w:kern w:val="0"/>
          <w:sz w:val="20"/>
          <w:szCs w:val="20"/>
        </w:rPr>
        <w:t xml:space="preserve"> and measurement gaps</w:t>
      </w:r>
      <w:r>
        <w:rPr>
          <w:rFonts w:ascii="Times New Roman" w:hAnsi="Times New Roman" w:cs="Times New Roman"/>
          <w:b/>
          <w:bCs/>
          <w:i w:val="0"/>
          <w:iCs w:val="0"/>
          <w:kern w:val="0"/>
          <w:sz w:val="20"/>
          <w:szCs w:val="20"/>
        </w:rPr>
        <w:t xml:space="preserve"> </w:t>
      </w:r>
      <w:r>
        <w:rPr>
          <w:rFonts w:hint="eastAsia" w:ascii="Times New Roman" w:hAnsi="Times New Roman" w:cs="Times New Roman"/>
          <w:b/>
          <w:bCs/>
          <w:i w:val="0"/>
          <w:iCs w:val="0"/>
          <w:kern w:val="0"/>
          <w:sz w:val="20"/>
          <w:szCs w:val="20"/>
        </w:rPr>
        <w:t xml:space="preserve">configurations </w:t>
      </w:r>
      <w:r>
        <w:rPr>
          <w:rFonts w:ascii="Times New Roman" w:hAnsi="Times New Roman" w:cs="Times New Roman"/>
          <w:b/>
          <w:bCs/>
          <w:i w:val="0"/>
          <w:iCs w:val="0"/>
          <w:kern w:val="0"/>
          <w:sz w:val="20"/>
          <w:szCs w:val="20"/>
        </w:rPr>
        <w:t>for UEs in RRC_CONNECTED:</w:t>
      </w:r>
    </w:p>
    <w:p>
      <w:pPr>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 xml:space="preserve">Option 1: Measurement </w:t>
      </w:r>
      <w:r>
        <w:rPr>
          <w:rFonts w:ascii="Times New Roman" w:hAnsi="Times New Roman" w:cs="Times New Roman"/>
          <w:b/>
          <w:bCs/>
          <w:i w:val="0"/>
          <w:iCs w:val="0"/>
          <w:kern w:val="0"/>
          <w:sz w:val="20"/>
          <w:szCs w:val="20"/>
        </w:rPr>
        <w:t>report</w:t>
      </w:r>
      <w:r>
        <w:rPr>
          <w:rFonts w:hint="eastAsia" w:ascii="Times New Roman" w:hAnsi="Times New Roman" w:cs="Times New Roman"/>
          <w:b/>
          <w:bCs/>
          <w:i w:val="0"/>
          <w:iCs w:val="0"/>
          <w:kern w:val="0"/>
          <w:sz w:val="20"/>
          <w:szCs w:val="20"/>
        </w:rPr>
        <w:t xml:space="preserve"> </w:t>
      </w:r>
      <w:r>
        <w:rPr>
          <w:rFonts w:ascii="Times New Roman" w:hAnsi="Times New Roman" w:cs="Times New Roman"/>
          <w:b/>
          <w:bCs/>
          <w:i w:val="0"/>
          <w:iCs w:val="0"/>
          <w:kern w:val="0"/>
          <w:sz w:val="20"/>
          <w:szCs w:val="20"/>
        </w:rPr>
        <w:t>based</w:t>
      </w:r>
      <w:r>
        <w:rPr>
          <w:rFonts w:hint="eastAsia" w:ascii="Times New Roman" w:hAnsi="Times New Roman" w:cs="Times New Roman"/>
          <w:b/>
          <w:bCs/>
          <w:i w:val="0"/>
          <w:iCs w:val="0"/>
          <w:kern w:val="0"/>
          <w:sz w:val="20"/>
          <w:szCs w:val="20"/>
        </w:rPr>
        <w:t xml:space="preserve"> solution (D1/D2 enhancement, new event D)</w:t>
      </w:r>
    </w:p>
    <w:p>
      <w:pPr>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 xml:space="preserve">Option 2: </w:t>
      </w:r>
      <w:r>
        <w:rPr>
          <w:rFonts w:ascii="Times New Roman" w:hAnsi="Times New Roman" w:cs="Times New Roman"/>
          <w:b/>
          <w:bCs/>
          <w:i w:val="0"/>
          <w:iCs w:val="0"/>
          <w:kern w:val="0"/>
          <w:sz w:val="20"/>
          <w:szCs w:val="20"/>
        </w:rPr>
        <w:t>UAI with multiple area</w:t>
      </w:r>
      <w:r>
        <w:rPr>
          <w:rFonts w:hint="eastAsia" w:ascii="Times New Roman" w:hAnsi="Times New Roman" w:cs="Times New Roman"/>
          <w:b/>
          <w:bCs/>
          <w:i w:val="0"/>
          <w:iCs w:val="0"/>
          <w:kern w:val="0"/>
          <w:sz w:val="20"/>
          <w:szCs w:val="20"/>
        </w:rPr>
        <w:t xml:space="preserve">s or locations. </w:t>
      </w:r>
    </w:p>
    <w:bookmarkEnd w:id="15"/>
    <w:p>
      <w:pPr>
        <w:pStyle w:val="2"/>
        <w:spacing w:before="180"/>
        <w:ind w:left="850" w:hanging="849" w:hangingChars="236"/>
        <w:jc w:val="both"/>
        <w:rPr>
          <w:i w:val="0"/>
          <w:iCs w:val="0"/>
        </w:rPr>
      </w:pPr>
      <w:r>
        <w:rPr>
          <w:i w:val="0"/>
          <w:iCs w:val="0"/>
        </w:rPr>
        <w:t>Conclusion</w:t>
      </w:r>
      <w:r>
        <w:rPr>
          <w:rFonts w:hint="eastAsia"/>
          <w:i w:val="0"/>
          <w:iCs w:val="0"/>
          <w:lang w:val="en-US" w:eastAsia="zh-CN"/>
        </w:rPr>
        <w:t>s</w:t>
      </w:r>
    </w:p>
    <w:p>
      <w:pPr>
        <w:tabs>
          <w:tab w:val="center" w:pos="4819"/>
        </w:tabs>
        <w:spacing w:after="180"/>
        <w:jc w:val="both"/>
        <w:rPr>
          <w:rFonts w:ascii="Times New Roman" w:hAnsi="Times New Roman" w:cs="Times New Roman"/>
          <w:bCs/>
          <w:i w:val="0"/>
          <w:iCs w:val="0"/>
          <w:kern w:val="0"/>
          <w:sz w:val="20"/>
          <w:szCs w:val="20"/>
        </w:rPr>
      </w:pPr>
      <w:r>
        <w:rPr>
          <w:rFonts w:ascii="Times New Roman" w:hAnsi="Times New Roman" w:cs="Times New Roman"/>
          <w:bCs/>
          <w:i w:val="0"/>
          <w:iCs w:val="0"/>
          <w:kern w:val="0"/>
          <w:sz w:val="20"/>
          <w:szCs w:val="20"/>
        </w:rPr>
        <w:t>Based on above analyses,</w:t>
      </w:r>
      <w:r>
        <w:rPr>
          <w:rFonts w:hint="eastAsia" w:ascii="Times New Roman" w:hAnsi="Times New Roman" w:cs="Times New Roman"/>
          <w:bCs/>
          <w:i w:val="0"/>
          <w:iCs w:val="0"/>
          <w:kern w:val="0"/>
          <w:sz w:val="20"/>
          <w:szCs w:val="20"/>
        </w:rPr>
        <w:t xml:space="preserve"> observations and</w:t>
      </w:r>
      <w:r>
        <w:rPr>
          <w:rFonts w:ascii="Times New Roman" w:hAnsi="Times New Roman" w:cs="Times New Roman"/>
          <w:bCs/>
          <w:i w:val="0"/>
          <w:iCs w:val="0"/>
          <w:kern w:val="0"/>
          <w:sz w:val="20"/>
          <w:szCs w:val="20"/>
        </w:rPr>
        <w:t xml:space="preserve"> proposals are summarized as follows.</w:t>
      </w:r>
    </w:p>
    <w:p>
      <w:pPr>
        <w:tabs>
          <w:tab w:val="center" w:pos="4819"/>
        </w:tabs>
        <w:spacing w:after="180"/>
        <w:jc w:val="both"/>
        <w:rPr>
          <w:rFonts w:ascii="Times New Roman" w:hAnsi="Times New Roman" w:cs="Times New Roman"/>
          <w:b/>
          <w:i w:val="0"/>
          <w:iCs w:val="0"/>
          <w:kern w:val="0"/>
          <w:sz w:val="20"/>
          <w:szCs w:val="20"/>
        </w:rPr>
      </w:pPr>
      <w:r>
        <w:rPr>
          <w:rFonts w:hint="eastAsia" w:ascii="Times New Roman" w:hAnsi="Times New Roman" w:cs="Times New Roman"/>
          <w:b/>
          <w:i w:val="0"/>
          <w:iCs w:val="0"/>
          <w:kern w:val="0"/>
          <w:sz w:val="20"/>
          <w:szCs w:val="20"/>
        </w:rPr>
        <w:t xml:space="preserve">Observation 1: There is no need for SMTC enhancement in the case of one single beam per cell. SSB-based SMTC configuration can only applied in the case of multiple beams per cell. </w:t>
      </w:r>
    </w:p>
    <w:p>
      <w:pPr>
        <w:tabs>
          <w:tab w:val="center" w:pos="4819"/>
        </w:tabs>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Observation 2: Even the UE may at the edge of SSB or the overlapping area of SSBs, the UE can perform beam selection in a legacy way. Once a beam is selected, the associated SMTC of the serving cell SSB can be determined.</w:t>
      </w:r>
    </w:p>
    <w:p>
      <w:pPr>
        <w:tabs>
          <w:tab w:val="center" w:pos="4819"/>
        </w:tabs>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 xml:space="preserve">Observation 3: For SSB-based SMTC configuration, </w:t>
      </w:r>
      <w:r>
        <w:rPr>
          <w:rFonts w:ascii="Times New Roman" w:hAnsi="Times New Roman" w:cs="Times New Roman"/>
          <w:b/>
          <w:bCs/>
          <w:i w:val="0"/>
          <w:iCs w:val="0"/>
          <w:kern w:val="0"/>
          <w:sz w:val="20"/>
          <w:szCs w:val="20"/>
        </w:rPr>
        <w:t>a SSB list with multiple SSBs configured for each SMTC</w:t>
      </w:r>
      <w:r>
        <w:rPr>
          <w:rFonts w:hint="eastAsia" w:ascii="Times New Roman" w:hAnsi="Times New Roman" w:cs="Times New Roman"/>
          <w:b/>
          <w:bCs/>
          <w:i w:val="0"/>
          <w:iCs w:val="0"/>
          <w:kern w:val="0"/>
          <w:sz w:val="20"/>
          <w:szCs w:val="20"/>
        </w:rPr>
        <w:t xml:space="preserve"> is more reasonable. </w:t>
      </w:r>
    </w:p>
    <w:p>
      <w:pPr>
        <w:tabs>
          <w:tab w:val="center" w:pos="4819"/>
        </w:tabs>
        <w:spacing w:after="180"/>
        <w:jc w:val="both"/>
        <w:rPr>
          <w:rFonts w:ascii="Times New Roman" w:hAnsi="Times New Roman" w:cs="Times New Roman"/>
          <w:b/>
          <w:bCs/>
          <w:i w:val="0"/>
          <w:iCs w:val="0"/>
          <w:kern w:val="0"/>
          <w:sz w:val="20"/>
          <w:szCs w:val="20"/>
        </w:rPr>
      </w:pPr>
      <w:r>
        <w:rPr>
          <w:rFonts w:ascii="Times New Roman" w:hAnsi="Times New Roman" w:cs="Times New Roman"/>
          <w:b/>
          <w:bCs/>
          <w:i w:val="0"/>
          <w:iCs w:val="0"/>
          <w:kern w:val="0"/>
          <w:sz w:val="20"/>
          <w:szCs w:val="20"/>
        </w:rPr>
        <w:t>Observatio</w:t>
      </w:r>
      <w:r>
        <w:rPr>
          <w:rFonts w:hint="eastAsia" w:ascii="Times New Roman" w:hAnsi="Times New Roman" w:cs="Times New Roman"/>
          <w:b/>
          <w:bCs/>
          <w:i w:val="0"/>
          <w:iCs w:val="0"/>
          <w:kern w:val="0"/>
          <w:sz w:val="20"/>
          <w:szCs w:val="20"/>
        </w:rPr>
        <w:t>n</w:t>
      </w:r>
      <w:r>
        <w:rPr>
          <w:rFonts w:ascii="Times New Roman" w:hAnsi="Times New Roman" w:cs="Times New Roman"/>
          <w:b/>
          <w:bCs/>
          <w:i w:val="0"/>
          <w:iCs w:val="0"/>
          <w:kern w:val="0"/>
          <w:sz w:val="20"/>
          <w:szCs w:val="20"/>
        </w:rPr>
        <w:t xml:space="preserve"> </w:t>
      </w:r>
      <w:r>
        <w:rPr>
          <w:rFonts w:hint="eastAsia" w:ascii="Times New Roman" w:hAnsi="Times New Roman" w:cs="Times New Roman"/>
          <w:b/>
          <w:bCs/>
          <w:i w:val="0"/>
          <w:iCs w:val="0"/>
          <w:kern w:val="0"/>
          <w:sz w:val="20"/>
          <w:szCs w:val="20"/>
        </w:rPr>
        <w:t>4</w:t>
      </w:r>
      <w:r>
        <w:rPr>
          <w:rFonts w:ascii="Times New Roman" w:hAnsi="Times New Roman" w:cs="Times New Roman"/>
          <w:b/>
          <w:bCs/>
          <w:i w:val="0"/>
          <w:iCs w:val="0"/>
          <w:kern w:val="0"/>
          <w:sz w:val="20"/>
          <w:szCs w:val="20"/>
        </w:rPr>
        <w:t>:</w:t>
      </w:r>
      <w:r>
        <w:rPr>
          <w:rFonts w:hint="eastAsia" w:ascii="Times New Roman" w:hAnsi="Times New Roman" w:cs="Times New Roman"/>
          <w:b/>
          <w:bCs/>
          <w:i w:val="0"/>
          <w:iCs w:val="0"/>
          <w:kern w:val="0"/>
          <w:sz w:val="20"/>
          <w:szCs w:val="20"/>
        </w:rPr>
        <w:t xml:space="preserve"> </w:t>
      </w:r>
      <w:r>
        <w:rPr>
          <w:rFonts w:ascii="Times New Roman" w:hAnsi="Times New Roman" w:cs="Times New Roman"/>
          <w:b/>
          <w:bCs/>
          <w:i w:val="0"/>
          <w:iCs w:val="0"/>
          <w:kern w:val="0"/>
          <w:sz w:val="20"/>
          <w:szCs w:val="20"/>
        </w:rPr>
        <w:t>For intra-frequency</w:t>
      </w:r>
      <w:r>
        <w:rPr>
          <w:rFonts w:hint="eastAsia" w:ascii="Times New Roman" w:hAnsi="Times New Roman" w:cs="Times New Roman"/>
          <w:b/>
          <w:bCs/>
          <w:i w:val="0"/>
          <w:iCs w:val="0"/>
          <w:kern w:val="0"/>
          <w:sz w:val="20"/>
          <w:szCs w:val="20"/>
        </w:rPr>
        <w:t xml:space="preserve"> </w:t>
      </w:r>
      <w:r>
        <w:rPr>
          <w:rFonts w:ascii="Times New Roman" w:hAnsi="Times New Roman" w:cs="Times New Roman"/>
          <w:b/>
          <w:bCs/>
          <w:i w:val="0"/>
          <w:iCs w:val="0"/>
          <w:kern w:val="0"/>
          <w:sz w:val="20"/>
          <w:szCs w:val="20"/>
        </w:rPr>
        <w:t>and inter-frequency,</w:t>
      </w:r>
      <w:r>
        <w:rPr>
          <w:rFonts w:hint="eastAsia" w:ascii="Times New Roman" w:hAnsi="Times New Roman" w:cs="Times New Roman"/>
          <w:b/>
          <w:bCs/>
          <w:i w:val="0"/>
          <w:iCs w:val="0"/>
          <w:kern w:val="0"/>
          <w:sz w:val="20"/>
          <w:szCs w:val="20"/>
        </w:rPr>
        <w:t xml:space="preserve"> </w:t>
      </w:r>
      <w:r>
        <w:rPr>
          <w:rFonts w:ascii="Times New Roman" w:hAnsi="Times New Roman" w:cs="Times New Roman"/>
          <w:b/>
          <w:bCs/>
          <w:i w:val="0"/>
          <w:iCs w:val="0"/>
          <w:kern w:val="0"/>
          <w:sz w:val="20"/>
          <w:szCs w:val="20"/>
        </w:rPr>
        <w:t xml:space="preserve">configuring 4 SMTCs by NW is sufficient for UE measurement in RRC_CONNECTED. </w:t>
      </w:r>
    </w:p>
    <w:p>
      <w:pPr>
        <w:tabs>
          <w:tab w:val="center" w:pos="4819"/>
        </w:tabs>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 xml:space="preserve">Observation 5: For inter-frequency, the inaccurate configuration of SMTC and gap becomes increasingly challenging in RRC_CONNECTED. </w:t>
      </w:r>
    </w:p>
    <w:p>
      <w:pPr>
        <w:tabs>
          <w:tab w:val="center" w:pos="4819"/>
        </w:tabs>
        <w:spacing w:after="180"/>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Observation 6: L</w:t>
      </w:r>
      <w:r>
        <w:rPr>
          <w:rFonts w:ascii="Times New Roman" w:hAnsi="Times New Roman" w:cs="Times New Roman"/>
          <w:b/>
          <w:bCs/>
          <w:i w:val="0"/>
          <w:iCs w:val="0"/>
          <w:kern w:val="0"/>
          <w:sz w:val="20"/>
          <w:szCs w:val="20"/>
        </w:rPr>
        <w:t xml:space="preserve">egacy events D1/D2 are no longer applicable </w:t>
      </w:r>
      <w:r>
        <w:rPr>
          <w:rFonts w:hint="eastAsia" w:ascii="Times New Roman" w:hAnsi="Times New Roman" w:cs="Times New Roman"/>
          <w:b/>
          <w:bCs/>
          <w:i w:val="0"/>
          <w:iCs w:val="0"/>
          <w:kern w:val="0"/>
          <w:sz w:val="20"/>
          <w:szCs w:val="20"/>
        </w:rPr>
        <w:t>for inter-frequency overlapping coverage scenario.</w:t>
      </w:r>
    </w:p>
    <w:p>
      <w:pPr>
        <w:tabs>
          <w:tab w:val="center" w:pos="4819"/>
        </w:tabs>
        <w:spacing w:after="180"/>
        <w:jc w:val="both"/>
        <w:rPr>
          <w:rFonts w:ascii="Times New Roman" w:hAnsi="Times New Roman" w:cs="Times New Roman"/>
          <w:b/>
          <w:bCs/>
          <w:i w:val="0"/>
          <w:iCs w:val="0"/>
          <w:kern w:val="0"/>
          <w:sz w:val="20"/>
          <w:szCs w:val="20"/>
          <w:lang w:bidi="ar"/>
        </w:rPr>
      </w:pPr>
      <w:r>
        <w:rPr>
          <w:rFonts w:hint="eastAsia" w:ascii="Times New Roman" w:hAnsi="Times New Roman" w:cs="Times New Roman"/>
          <w:b/>
          <w:bCs/>
          <w:i w:val="0"/>
          <w:iCs w:val="0"/>
          <w:kern w:val="0"/>
          <w:sz w:val="20"/>
          <w:szCs w:val="20"/>
          <w:lang w:bidi="ar"/>
        </w:rPr>
        <w:t xml:space="preserve">Observation 7: The clarification of condEvent/eventD1/D2 in the specification of R19 has no impact on legacy UEs. </w:t>
      </w:r>
    </w:p>
    <w:p>
      <w:pPr>
        <w:tabs>
          <w:tab w:val="center" w:pos="4819"/>
        </w:tabs>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Observation 8: N</w:t>
      </w:r>
      <w:r>
        <w:rPr>
          <w:rFonts w:ascii="Times New Roman" w:hAnsi="Times New Roman" w:cs="Times New Roman"/>
          <w:b/>
          <w:bCs/>
          <w:i w:val="0"/>
          <w:iCs w:val="0"/>
          <w:kern w:val="0"/>
          <w:sz w:val="20"/>
          <w:szCs w:val="20"/>
        </w:rPr>
        <w:t>ew event D3/D4</w:t>
      </w:r>
      <w:r>
        <w:rPr>
          <w:rFonts w:hint="eastAsia" w:ascii="Times New Roman" w:hAnsi="Times New Roman" w:cs="Times New Roman"/>
          <w:b/>
          <w:bCs/>
          <w:i w:val="0"/>
          <w:iCs w:val="0"/>
          <w:kern w:val="0"/>
          <w:sz w:val="20"/>
          <w:szCs w:val="20"/>
        </w:rPr>
        <w:t xml:space="preserve"> is more straightforward and clear and the design also aligns with legacy Event A specifications: Event D1/D2 aligns with Event A5 and Event D3/D4 aligns with Event A4.</w:t>
      </w:r>
    </w:p>
    <w:p>
      <w:pPr>
        <w:tabs>
          <w:tab w:val="center" w:pos="4819"/>
        </w:tabs>
        <w:spacing w:after="180"/>
        <w:jc w:val="both"/>
        <w:rPr>
          <w:rFonts w:ascii="Times New Roman" w:hAnsi="Times New Roman" w:cs="Times New Roman"/>
          <w:b/>
          <w:bCs/>
          <w:i w:val="0"/>
          <w:iCs w:val="0"/>
          <w:kern w:val="0"/>
          <w:sz w:val="20"/>
          <w:szCs w:val="20"/>
        </w:rPr>
      </w:pPr>
    </w:p>
    <w:p>
      <w:pPr>
        <w:tabs>
          <w:tab w:val="center" w:pos="4819"/>
        </w:tabs>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Proposal 1</w:t>
      </w:r>
      <w:r>
        <w:rPr>
          <w:rFonts w:hint="eastAsia" w:ascii="Times New Roman" w:hAnsi="Times New Roman" w:cs="Times New Roman"/>
          <w:b/>
          <w:i w:val="0"/>
          <w:iCs w:val="0"/>
          <w:kern w:val="0"/>
          <w:sz w:val="20"/>
          <w:szCs w:val="20"/>
          <w:lang w:val="en-GB"/>
        </w:rPr>
        <w:t xml:space="preserve">: </w:t>
      </w:r>
      <w:r>
        <w:rPr>
          <w:rFonts w:hint="eastAsia" w:ascii="Times New Roman" w:hAnsi="Times New Roman" w:cs="Times New Roman"/>
          <w:b/>
          <w:i w:val="0"/>
          <w:iCs w:val="0"/>
          <w:kern w:val="0"/>
          <w:sz w:val="20"/>
          <w:szCs w:val="20"/>
        </w:rPr>
        <w:t xml:space="preserve">RAN2 to introduce SSB-based solution for SMTC enhancement in RRC_Idle/Inactive. </w:t>
      </w:r>
    </w:p>
    <w:p>
      <w:pPr>
        <w:spacing w:after="180"/>
        <w:jc w:val="both"/>
        <w:rPr>
          <w:rFonts w:ascii="Times New Roman" w:hAnsi="Times New Roman" w:cs="Times New Roman"/>
          <w:b/>
          <w:bCs/>
          <w:i w:val="0"/>
          <w:iCs w:val="0"/>
          <w:kern w:val="0"/>
          <w:sz w:val="20"/>
          <w:szCs w:val="20"/>
        </w:rPr>
      </w:pPr>
      <w:r>
        <w:rPr>
          <w:rFonts w:ascii="Times New Roman" w:hAnsi="Times New Roman" w:cs="Times New Roman"/>
          <w:b/>
          <w:bCs/>
          <w:i w:val="0"/>
          <w:iCs w:val="0"/>
          <w:kern w:val="0"/>
          <w:sz w:val="20"/>
          <w:szCs w:val="20"/>
        </w:rPr>
        <w:t xml:space="preserve">Proposal </w:t>
      </w:r>
      <w:r>
        <w:rPr>
          <w:rFonts w:hint="eastAsia" w:ascii="Times New Roman" w:hAnsi="Times New Roman" w:cs="Times New Roman"/>
          <w:b/>
          <w:bCs/>
          <w:i w:val="0"/>
          <w:iCs w:val="0"/>
          <w:kern w:val="0"/>
          <w:sz w:val="20"/>
          <w:szCs w:val="20"/>
        </w:rPr>
        <w:t>2</w:t>
      </w:r>
      <w:r>
        <w:rPr>
          <w:rFonts w:ascii="Times New Roman" w:hAnsi="Times New Roman" w:cs="Times New Roman"/>
          <w:b/>
          <w:bCs/>
          <w:i w:val="0"/>
          <w:iCs w:val="0"/>
          <w:kern w:val="0"/>
          <w:sz w:val="20"/>
          <w:szCs w:val="20"/>
        </w:rPr>
        <w:t xml:space="preserve">: RAN2 to consider the following options for </w:t>
      </w:r>
      <w:r>
        <w:rPr>
          <w:rFonts w:hint="eastAsia" w:ascii="Times New Roman" w:hAnsi="Times New Roman" w:cs="Times New Roman"/>
          <w:b/>
          <w:bCs/>
          <w:i w:val="0"/>
          <w:iCs w:val="0"/>
          <w:kern w:val="0"/>
          <w:sz w:val="20"/>
          <w:szCs w:val="20"/>
        </w:rPr>
        <w:t xml:space="preserve">enhanced </w:t>
      </w:r>
      <w:r>
        <w:rPr>
          <w:rFonts w:ascii="Times New Roman" w:hAnsi="Times New Roman" w:cs="Times New Roman"/>
          <w:b/>
          <w:bCs/>
          <w:i w:val="0"/>
          <w:iCs w:val="0"/>
          <w:kern w:val="0"/>
          <w:sz w:val="20"/>
          <w:szCs w:val="20"/>
        </w:rPr>
        <w:t>SMTCs</w:t>
      </w:r>
      <w:r>
        <w:rPr>
          <w:rFonts w:hint="eastAsia" w:ascii="Times New Roman" w:hAnsi="Times New Roman" w:cs="Times New Roman"/>
          <w:b/>
          <w:bCs/>
          <w:i w:val="0"/>
          <w:iCs w:val="0"/>
          <w:kern w:val="0"/>
          <w:sz w:val="20"/>
          <w:szCs w:val="20"/>
        </w:rPr>
        <w:t xml:space="preserve"> and measurement gaps</w:t>
      </w:r>
      <w:r>
        <w:rPr>
          <w:rFonts w:ascii="Times New Roman" w:hAnsi="Times New Roman" w:cs="Times New Roman"/>
          <w:b/>
          <w:bCs/>
          <w:i w:val="0"/>
          <w:iCs w:val="0"/>
          <w:kern w:val="0"/>
          <w:sz w:val="20"/>
          <w:szCs w:val="20"/>
        </w:rPr>
        <w:t xml:space="preserve"> </w:t>
      </w:r>
      <w:r>
        <w:rPr>
          <w:rFonts w:hint="eastAsia" w:ascii="Times New Roman" w:hAnsi="Times New Roman" w:cs="Times New Roman"/>
          <w:b/>
          <w:bCs/>
          <w:i w:val="0"/>
          <w:iCs w:val="0"/>
          <w:kern w:val="0"/>
          <w:sz w:val="20"/>
          <w:szCs w:val="20"/>
        </w:rPr>
        <w:t xml:space="preserve">configurations </w:t>
      </w:r>
      <w:r>
        <w:rPr>
          <w:rFonts w:ascii="Times New Roman" w:hAnsi="Times New Roman" w:cs="Times New Roman"/>
          <w:b/>
          <w:bCs/>
          <w:i w:val="0"/>
          <w:iCs w:val="0"/>
          <w:kern w:val="0"/>
          <w:sz w:val="20"/>
          <w:szCs w:val="20"/>
        </w:rPr>
        <w:t>for UEs in RRC_CONNECTED:</w:t>
      </w:r>
    </w:p>
    <w:p>
      <w:pPr>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 xml:space="preserve">Option 1: Measurement </w:t>
      </w:r>
      <w:r>
        <w:rPr>
          <w:rFonts w:ascii="Times New Roman" w:hAnsi="Times New Roman" w:cs="Times New Roman"/>
          <w:b/>
          <w:bCs/>
          <w:i w:val="0"/>
          <w:iCs w:val="0"/>
          <w:kern w:val="0"/>
          <w:sz w:val="20"/>
          <w:szCs w:val="20"/>
        </w:rPr>
        <w:t>report</w:t>
      </w:r>
      <w:r>
        <w:rPr>
          <w:rFonts w:hint="eastAsia" w:ascii="Times New Roman" w:hAnsi="Times New Roman" w:cs="Times New Roman"/>
          <w:b/>
          <w:bCs/>
          <w:i w:val="0"/>
          <w:iCs w:val="0"/>
          <w:kern w:val="0"/>
          <w:sz w:val="20"/>
          <w:szCs w:val="20"/>
        </w:rPr>
        <w:t xml:space="preserve"> </w:t>
      </w:r>
      <w:r>
        <w:rPr>
          <w:rFonts w:ascii="Times New Roman" w:hAnsi="Times New Roman" w:cs="Times New Roman"/>
          <w:b/>
          <w:bCs/>
          <w:i w:val="0"/>
          <w:iCs w:val="0"/>
          <w:kern w:val="0"/>
          <w:sz w:val="20"/>
          <w:szCs w:val="20"/>
        </w:rPr>
        <w:t>based</w:t>
      </w:r>
      <w:r>
        <w:rPr>
          <w:rFonts w:hint="eastAsia" w:ascii="Times New Roman" w:hAnsi="Times New Roman" w:cs="Times New Roman"/>
          <w:b/>
          <w:bCs/>
          <w:i w:val="0"/>
          <w:iCs w:val="0"/>
          <w:kern w:val="0"/>
          <w:sz w:val="20"/>
          <w:szCs w:val="20"/>
        </w:rPr>
        <w:t xml:space="preserve"> solution (D1/D2 enhancement, new event D)</w:t>
      </w:r>
    </w:p>
    <w:p>
      <w:pPr>
        <w:spacing w:after="180"/>
        <w:jc w:val="both"/>
        <w:rPr>
          <w:rFonts w:ascii="Times New Roman" w:hAnsi="Times New Roman" w:cs="Times New Roman"/>
          <w:b/>
          <w:bCs/>
          <w:i w:val="0"/>
          <w:iCs w:val="0"/>
          <w:kern w:val="0"/>
          <w:sz w:val="20"/>
          <w:szCs w:val="20"/>
        </w:rPr>
      </w:pPr>
      <w:r>
        <w:rPr>
          <w:rFonts w:hint="eastAsia" w:ascii="Times New Roman" w:hAnsi="Times New Roman" w:cs="Times New Roman"/>
          <w:b/>
          <w:bCs/>
          <w:i w:val="0"/>
          <w:iCs w:val="0"/>
          <w:kern w:val="0"/>
          <w:sz w:val="20"/>
          <w:szCs w:val="20"/>
        </w:rPr>
        <w:t xml:space="preserve">Option 2: </w:t>
      </w:r>
      <w:r>
        <w:rPr>
          <w:rFonts w:ascii="Times New Roman" w:hAnsi="Times New Roman" w:cs="Times New Roman"/>
          <w:b/>
          <w:bCs/>
          <w:i w:val="0"/>
          <w:iCs w:val="0"/>
          <w:kern w:val="0"/>
          <w:sz w:val="20"/>
          <w:szCs w:val="20"/>
        </w:rPr>
        <w:t>UAI with multiple area</w:t>
      </w:r>
      <w:r>
        <w:rPr>
          <w:rFonts w:hint="eastAsia" w:ascii="Times New Roman" w:hAnsi="Times New Roman" w:cs="Times New Roman"/>
          <w:b/>
          <w:bCs/>
          <w:i w:val="0"/>
          <w:iCs w:val="0"/>
          <w:kern w:val="0"/>
          <w:sz w:val="20"/>
          <w:szCs w:val="20"/>
        </w:rPr>
        <w:t xml:space="preserve">s or locations. </w:t>
      </w:r>
    </w:p>
    <w:p>
      <w:pPr>
        <w:pStyle w:val="2"/>
        <w:spacing w:before="180"/>
        <w:ind w:left="850" w:hanging="849" w:hangingChars="236"/>
        <w:jc w:val="both"/>
        <w:rPr>
          <w:i w:val="0"/>
          <w:iCs w:val="0"/>
        </w:rPr>
      </w:pPr>
      <w:r>
        <w:rPr>
          <w:rFonts w:hint="eastAsia"/>
          <w:i w:val="0"/>
          <w:iCs w:val="0"/>
        </w:rPr>
        <w:t>Reference</w:t>
      </w:r>
    </w:p>
    <w:p>
      <w:pPr>
        <w:widowControl/>
        <w:numPr>
          <w:ilvl w:val="0"/>
          <w:numId w:val="20"/>
        </w:numPr>
        <w:spacing w:line="300" w:lineRule="auto"/>
        <w:rPr>
          <w:rFonts w:ascii="Times New Roman" w:hAnsi="Times New Roman" w:eastAsia="宋体"/>
          <w:i w:val="0"/>
          <w:iCs w:val="0"/>
          <w:sz w:val="20"/>
        </w:rPr>
      </w:pPr>
      <w:r>
        <w:rPr>
          <w:rFonts w:ascii="Times New Roman" w:hAnsi="Times New Roman" w:eastAsia="宋体"/>
          <w:i w:val="0"/>
          <w:iCs w:val="0"/>
          <w:sz w:val="20"/>
        </w:rPr>
        <w:t>Report of 3GPP TSG RAN WG2 meeting #12</w:t>
      </w:r>
      <w:r>
        <w:rPr>
          <w:rFonts w:hint="eastAsia" w:ascii="Times New Roman" w:hAnsi="Times New Roman" w:eastAsia="宋体"/>
          <w:i w:val="0"/>
          <w:iCs w:val="0"/>
          <w:sz w:val="20"/>
        </w:rPr>
        <w:t>9b</w:t>
      </w:r>
    </w:p>
    <w:p>
      <w:pPr>
        <w:widowControl/>
        <w:numPr>
          <w:ilvl w:val="0"/>
          <w:numId w:val="20"/>
        </w:numPr>
        <w:spacing w:line="300" w:lineRule="auto"/>
        <w:rPr>
          <w:rFonts w:ascii="Times New Roman" w:hAnsi="Times New Roman" w:eastAsia="宋体"/>
          <w:i w:val="0"/>
          <w:iCs w:val="0"/>
          <w:sz w:val="20"/>
        </w:rPr>
      </w:pPr>
      <w:r>
        <w:rPr>
          <w:rFonts w:hint="eastAsia" w:ascii="Times New Roman" w:hAnsi="Times New Roman" w:eastAsia="宋体"/>
          <w:i w:val="0"/>
          <w:iCs w:val="0"/>
          <w:sz w:val="20"/>
        </w:rPr>
        <w:t>R2-2503055, Report of [AT129bis][303][R19 NR NTN] SMTC enhancements, Xiaomi</w:t>
      </w:r>
    </w:p>
    <w:p>
      <w:pPr>
        <w:widowControl/>
        <w:spacing w:line="300" w:lineRule="auto"/>
        <w:rPr>
          <w:rFonts w:ascii="Times New Roman" w:hAnsi="Times New Roman" w:eastAsia="宋体"/>
          <w:i w:val="0"/>
          <w:iCs w:val="0"/>
          <w:sz w:val="20"/>
        </w:rPr>
      </w:pPr>
    </w:p>
    <w:sectPr>
      <w:footerReference r:id="rId6" w:type="default"/>
      <w:headerReference r:id="rId5" w:type="even"/>
      <w:footnotePr>
        <w:numRestart w:val="eachSect"/>
      </w:footnotePr>
      <w:pgSz w:w="11907" w:h="16840"/>
      <w:pgMar w:top="1134" w:right="1134" w:bottom="1418" w:left="1134" w:header="680" w:footer="567" w:gutter="0"/>
      <w:cols w:space="720" w:num="1"/>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center" w:pos="4820"/>
        <w:tab w:val="right" w:pos="9639"/>
      </w:tabs>
      <w:jc w:val="left"/>
    </w:pPr>
    <w:r>
      <w:tab/>
    </w:r>
    <w:r>
      <w:rPr>
        <w:rStyle w:val="58"/>
      </w:rPr>
      <w:fldChar w:fldCharType="begin"/>
    </w:r>
    <w:r>
      <w:rPr>
        <w:rStyle w:val="58"/>
      </w:rPr>
      <w:instrText xml:space="preserve"> PAGE </w:instrText>
    </w:r>
    <w:r>
      <w:rPr>
        <w:rStyle w:val="58"/>
      </w:rPr>
      <w:fldChar w:fldCharType="separate"/>
    </w:r>
    <w:r>
      <w:rPr>
        <w:rStyle w:val="58"/>
      </w:rPr>
      <w:t>5</w:t>
    </w:r>
    <w:r>
      <w:rPr>
        <w:rStyle w:val="58"/>
      </w:rPr>
      <w:fldChar w:fldCharType="end"/>
    </w:r>
    <w:r>
      <w:rPr>
        <w:rStyle w:val="58"/>
      </w:rPr>
      <w:t>/</w:t>
    </w:r>
    <w:r>
      <w:rPr>
        <w:rStyle w:val="58"/>
      </w:rPr>
      <w:fldChar w:fldCharType="begin"/>
    </w:r>
    <w:r>
      <w:rPr>
        <w:rStyle w:val="58"/>
      </w:rPr>
      <w:instrText xml:space="preserve"> NUMPAGES </w:instrText>
    </w:r>
    <w:r>
      <w:rPr>
        <w:rStyle w:val="58"/>
      </w:rPr>
      <w:fldChar w:fldCharType="separate"/>
    </w:r>
    <w:r>
      <w:rPr>
        <w:rStyle w:val="58"/>
      </w:rPr>
      <w:t>5</w:t>
    </w:r>
    <w:r>
      <w:rPr>
        <w:rStyle w:val="58"/>
      </w:rPr>
      <w:fldChar w:fldCharType="end"/>
    </w:r>
    <w:r>
      <w:rPr>
        <w:rStyle w:val="5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5BBFF"/>
    <w:multiLevelType w:val="singleLevel"/>
    <w:tmpl w:val="FEF5BBFF"/>
    <w:lvl w:ilvl="0" w:tentative="0">
      <w:start w:val="1"/>
      <w:numFmt w:val="decimal"/>
      <w:suff w:val="space"/>
      <w:lvlText w:val="(%1)"/>
      <w:lvlJc w:val="left"/>
    </w:lvl>
  </w:abstractNum>
  <w:abstractNum w:abstractNumId="1">
    <w:nsid w:val="FFFFFF7E"/>
    <w:multiLevelType w:val="singleLevel"/>
    <w:tmpl w:val="FFFFFF7E"/>
    <w:lvl w:ilvl="0" w:tentative="0">
      <w:start w:val="1"/>
      <w:numFmt w:val="lowerRoman"/>
      <w:pStyle w:val="32"/>
      <w:lvlText w:val="%1."/>
      <w:lvlJc w:val="right"/>
      <w:pPr>
        <w:ind w:left="926" w:hanging="360"/>
      </w:pPr>
    </w:lvl>
  </w:abstractNum>
  <w:abstractNum w:abstractNumId="2">
    <w:nsid w:val="0D367570"/>
    <w:multiLevelType w:val="multilevel"/>
    <w:tmpl w:val="0D367570"/>
    <w:lvl w:ilvl="0" w:tentative="0">
      <w:start w:val="1"/>
      <w:numFmt w:val="decimal"/>
      <w:pStyle w:val="1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0F847706"/>
    <w:multiLevelType w:val="multilevel"/>
    <w:tmpl w:val="0F847706"/>
    <w:lvl w:ilvl="0" w:tentative="0">
      <w:start w:val="1"/>
      <w:numFmt w:val="bullet"/>
      <w:pStyle w:val="24"/>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4">
    <w:nsid w:val="20396CDA"/>
    <w:multiLevelType w:val="multilevel"/>
    <w:tmpl w:val="20396CDA"/>
    <w:lvl w:ilvl="0" w:tentative="0">
      <w:start w:val="1"/>
      <w:numFmt w:val="bullet"/>
      <w:pStyle w:val="26"/>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275A7442"/>
    <w:multiLevelType w:val="multilevel"/>
    <w:tmpl w:val="275A7442"/>
    <w:lvl w:ilvl="0" w:tentative="0">
      <w:start w:val="1"/>
      <w:numFmt w:val="bullet"/>
      <w:pStyle w:val="25"/>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6">
    <w:nsid w:val="29F978E9"/>
    <w:multiLevelType w:val="multilevel"/>
    <w:tmpl w:val="29F978E9"/>
    <w:lvl w:ilvl="0" w:tentative="0">
      <w:start w:val="1"/>
      <w:numFmt w:val="bullet"/>
      <w:pStyle w:val="16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02A77B5"/>
    <w:multiLevelType w:val="multilevel"/>
    <w:tmpl w:val="302A77B5"/>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30526EB1"/>
    <w:multiLevelType w:val="multilevel"/>
    <w:tmpl w:val="30526EB1"/>
    <w:lvl w:ilvl="0" w:tentative="0">
      <w:start w:val="1"/>
      <w:numFmt w:val="bullet"/>
      <w:pStyle w:val="153"/>
      <w:lvlText w:val=""/>
      <w:lvlJc w:val="left"/>
      <w:pPr>
        <w:ind w:left="1699" w:hanging="440"/>
      </w:pPr>
      <w:rPr>
        <w:rFonts w:hint="default" w:ascii="Symbol" w:hAnsi="Symbol"/>
        <w:b/>
        <w:i w:val="0"/>
        <w:color w:val="auto"/>
        <w:sz w:val="22"/>
      </w:rPr>
    </w:lvl>
    <w:lvl w:ilvl="1" w:tentative="0">
      <w:start w:val="1"/>
      <w:numFmt w:val="bullet"/>
      <w:lvlText w:val=""/>
      <w:lvlJc w:val="left"/>
      <w:pPr>
        <w:ind w:left="2139" w:hanging="440"/>
      </w:pPr>
      <w:rPr>
        <w:rFonts w:hint="default" w:ascii="Wingdings" w:hAnsi="Wingdings"/>
      </w:rPr>
    </w:lvl>
    <w:lvl w:ilvl="2" w:tentative="0">
      <w:start w:val="1"/>
      <w:numFmt w:val="bullet"/>
      <w:lvlText w:val=""/>
      <w:lvlJc w:val="left"/>
      <w:pPr>
        <w:ind w:left="2579" w:hanging="440"/>
      </w:pPr>
      <w:rPr>
        <w:rFonts w:hint="default" w:ascii="Wingdings" w:hAnsi="Wingdings"/>
      </w:rPr>
    </w:lvl>
    <w:lvl w:ilvl="3" w:tentative="0">
      <w:start w:val="1"/>
      <w:numFmt w:val="bullet"/>
      <w:lvlText w:val=""/>
      <w:lvlJc w:val="left"/>
      <w:pPr>
        <w:ind w:left="3019" w:hanging="440"/>
      </w:pPr>
      <w:rPr>
        <w:rFonts w:hint="default" w:ascii="Wingdings" w:hAnsi="Wingdings"/>
      </w:rPr>
    </w:lvl>
    <w:lvl w:ilvl="4" w:tentative="0">
      <w:start w:val="1"/>
      <w:numFmt w:val="bullet"/>
      <w:lvlText w:val=""/>
      <w:lvlJc w:val="left"/>
      <w:pPr>
        <w:ind w:left="3459" w:hanging="440"/>
      </w:pPr>
      <w:rPr>
        <w:rFonts w:hint="default" w:ascii="Wingdings" w:hAnsi="Wingdings"/>
      </w:rPr>
    </w:lvl>
    <w:lvl w:ilvl="5" w:tentative="0">
      <w:start w:val="1"/>
      <w:numFmt w:val="bullet"/>
      <w:lvlText w:val=""/>
      <w:lvlJc w:val="left"/>
      <w:pPr>
        <w:ind w:left="3899" w:hanging="440"/>
      </w:pPr>
      <w:rPr>
        <w:rFonts w:hint="default" w:ascii="Wingdings" w:hAnsi="Wingdings"/>
      </w:rPr>
    </w:lvl>
    <w:lvl w:ilvl="6" w:tentative="0">
      <w:start w:val="1"/>
      <w:numFmt w:val="bullet"/>
      <w:lvlText w:val=""/>
      <w:lvlJc w:val="left"/>
      <w:pPr>
        <w:ind w:left="4339" w:hanging="440"/>
      </w:pPr>
      <w:rPr>
        <w:rFonts w:hint="default" w:ascii="Wingdings" w:hAnsi="Wingdings"/>
      </w:rPr>
    </w:lvl>
    <w:lvl w:ilvl="7" w:tentative="0">
      <w:start w:val="1"/>
      <w:numFmt w:val="bullet"/>
      <w:lvlText w:val=""/>
      <w:lvlJc w:val="left"/>
      <w:pPr>
        <w:ind w:left="4779" w:hanging="440"/>
      </w:pPr>
      <w:rPr>
        <w:rFonts w:hint="default" w:ascii="Wingdings" w:hAnsi="Wingdings"/>
      </w:rPr>
    </w:lvl>
    <w:lvl w:ilvl="8" w:tentative="0">
      <w:start w:val="1"/>
      <w:numFmt w:val="bullet"/>
      <w:lvlText w:val=""/>
      <w:lvlJc w:val="left"/>
      <w:pPr>
        <w:ind w:left="5219" w:hanging="440"/>
      </w:pPr>
      <w:rPr>
        <w:rFonts w:hint="default" w:ascii="Wingdings" w:hAnsi="Wingdings"/>
      </w:rPr>
    </w:lvl>
  </w:abstractNum>
  <w:abstractNum w:abstractNumId="9">
    <w:nsid w:val="33EA44FF"/>
    <w:multiLevelType w:val="multilevel"/>
    <w:tmpl w:val="33EA44FF"/>
    <w:lvl w:ilvl="0" w:tentative="0">
      <w:start w:val="1"/>
      <w:numFmt w:val="decimal"/>
      <w:pStyle w:val="23"/>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0">
    <w:nsid w:val="3AA46647"/>
    <w:multiLevelType w:val="multilevel"/>
    <w:tmpl w:val="3AA46647"/>
    <w:lvl w:ilvl="0" w:tentative="0">
      <w:start w:val="1"/>
      <w:numFmt w:val="decimal"/>
      <w:pStyle w:val="7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BDF65F6"/>
    <w:multiLevelType w:val="multilevel"/>
    <w:tmpl w:val="4BDF65F6"/>
    <w:lvl w:ilvl="0" w:tentative="0">
      <w:start w:val="1"/>
      <w:numFmt w:val="decimal"/>
      <w:pStyle w:val="7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10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21F44A7"/>
    <w:multiLevelType w:val="multilevel"/>
    <w:tmpl w:val="521F44A7"/>
    <w:lvl w:ilvl="0" w:tentative="0">
      <w:start w:val="1"/>
      <w:numFmt w:val="bullet"/>
      <w:pStyle w:val="12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BDE1D10"/>
    <w:multiLevelType w:val="multilevel"/>
    <w:tmpl w:val="5BDE1D10"/>
    <w:lvl w:ilvl="0" w:tentative="0">
      <w:start w:val="1"/>
      <w:numFmt w:val="bullet"/>
      <w:pStyle w:val="27"/>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5">
    <w:nsid w:val="63690C9E"/>
    <w:multiLevelType w:val="singleLevel"/>
    <w:tmpl w:val="63690C9E"/>
    <w:lvl w:ilvl="0" w:tentative="0">
      <w:start w:val="1"/>
      <w:numFmt w:val="bullet"/>
      <w:pStyle w:val="171"/>
      <w:lvlText w:val=""/>
      <w:lvlJc w:val="left"/>
      <w:pPr>
        <w:tabs>
          <w:tab w:val="left" w:pos="360"/>
        </w:tabs>
        <w:ind w:left="360" w:hanging="360"/>
      </w:pPr>
      <w:rPr>
        <w:rFonts w:hint="default" w:ascii="Wingdings" w:hAnsi="Wingdings"/>
      </w:rPr>
    </w:lvl>
  </w:abstractNum>
  <w:abstractNum w:abstractNumId="16">
    <w:nsid w:val="6BB4DF6D"/>
    <w:multiLevelType w:val="singleLevel"/>
    <w:tmpl w:val="6BB4DF6D"/>
    <w:lvl w:ilvl="0" w:tentative="0">
      <w:start w:val="1"/>
      <w:numFmt w:val="decimal"/>
      <w:suff w:val="space"/>
      <w:lvlText w:val="[%1]"/>
      <w:lvlJc w:val="left"/>
    </w:lvl>
  </w:abstractNum>
  <w:abstractNum w:abstractNumId="17">
    <w:nsid w:val="6E4C234E"/>
    <w:multiLevelType w:val="multilevel"/>
    <w:tmpl w:val="6E4C234E"/>
    <w:lvl w:ilvl="0" w:tentative="0">
      <w:start w:val="1"/>
      <w:numFmt w:val="lowerLetter"/>
      <w:pStyle w:val="22"/>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8">
    <w:nsid w:val="6FF1B3B9"/>
    <w:multiLevelType w:val="singleLevel"/>
    <w:tmpl w:val="6FF1B3B9"/>
    <w:lvl w:ilvl="0" w:tentative="0">
      <w:start w:val="1"/>
      <w:numFmt w:val="decimal"/>
      <w:suff w:val="space"/>
      <w:lvlText w:val="(%1)"/>
      <w:lvlJc w:val="left"/>
    </w:lvl>
  </w:abstractNum>
  <w:abstractNum w:abstractNumId="19">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7"/>
  </w:num>
  <w:num w:numId="2">
    <w:abstractNumId w:val="17"/>
  </w:num>
  <w:num w:numId="3">
    <w:abstractNumId w:val="9"/>
  </w:num>
  <w:num w:numId="4">
    <w:abstractNumId w:val="3"/>
  </w:num>
  <w:num w:numId="5">
    <w:abstractNumId w:val="5"/>
  </w:num>
  <w:num w:numId="6">
    <w:abstractNumId w:val="4"/>
  </w:num>
  <w:num w:numId="7">
    <w:abstractNumId w:val="14"/>
  </w:num>
  <w:num w:numId="8">
    <w:abstractNumId w:val="1"/>
  </w:num>
  <w:num w:numId="9">
    <w:abstractNumId w:val="19"/>
  </w:num>
  <w:num w:numId="10">
    <w:abstractNumId w:val="11"/>
  </w:num>
  <w:num w:numId="11">
    <w:abstractNumId w:val="10"/>
  </w:num>
  <w:num w:numId="12">
    <w:abstractNumId w:val="12"/>
  </w:num>
  <w:num w:numId="13">
    <w:abstractNumId w:val="13"/>
  </w:num>
  <w:num w:numId="14">
    <w:abstractNumId w:val="8"/>
  </w:num>
  <w:num w:numId="15">
    <w:abstractNumId w:val="6"/>
  </w:num>
  <w:num w:numId="16">
    <w:abstractNumId w:val="15"/>
  </w:num>
  <w:num w:numId="17">
    <w:abstractNumId w:val="2"/>
  </w:num>
  <w:num w:numId="18">
    <w:abstractNumId w:val="18"/>
  </w:num>
  <w:num w:numId="19">
    <w:abstractNumId w:val="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567"/>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zA3NzK0NDAwNDAwNbNQ0lEKTi0uzszPAykwqwUAB0NL2SwAAAA="/>
    <w:docVar w:name="commondata" w:val="eyJoZGlkIjoiYzgyYWExZDAyNmVmNzhjMmIzOGU2YjllYjc2NDA5NGIifQ=="/>
    <w:docVar w:name="KSO_WPS_MARK_KEY" w:val="3874a05f-426c-4b05-8927-1ee181679eb9"/>
  </w:docVars>
  <w:rsids>
    <w:rsidRoot w:val="00BB52B0"/>
    <w:rsid w:val="00000094"/>
    <w:rsid w:val="0000018E"/>
    <w:rsid w:val="000006E1"/>
    <w:rsid w:val="000010CD"/>
    <w:rsid w:val="0000232F"/>
    <w:rsid w:val="00002A37"/>
    <w:rsid w:val="00002DC1"/>
    <w:rsid w:val="00003A85"/>
    <w:rsid w:val="00003CF5"/>
    <w:rsid w:val="00003D98"/>
    <w:rsid w:val="00004814"/>
    <w:rsid w:val="00004FB5"/>
    <w:rsid w:val="0000505D"/>
    <w:rsid w:val="0000564C"/>
    <w:rsid w:val="00006446"/>
    <w:rsid w:val="00006896"/>
    <w:rsid w:val="00006AC8"/>
    <w:rsid w:val="00007B09"/>
    <w:rsid w:val="00007CDC"/>
    <w:rsid w:val="00011B28"/>
    <w:rsid w:val="00012C1E"/>
    <w:rsid w:val="00013645"/>
    <w:rsid w:val="00013992"/>
    <w:rsid w:val="00014BD4"/>
    <w:rsid w:val="00015D15"/>
    <w:rsid w:val="0001623F"/>
    <w:rsid w:val="0001658E"/>
    <w:rsid w:val="00016666"/>
    <w:rsid w:val="00017139"/>
    <w:rsid w:val="00020B31"/>
    <w:rsid w:val="00020BBA"/>
    <w:rsid w:val="00021ACF"/>
    <w:rsid w:val="000235AA"/>
    <w:rsid w:val="00023CC2"/>
    <w:rsid w:val="00024C46"/>
    <w:rsid w:val="000252B9"/>
    <w:rsid w:val="0002564D"/>
    <w:rsid w:val="00025ECA"/>
    <w:rsid w:val="00025F6F"/>
    <w:rsid w:val="000264A7"/>
    <w:rsid w:val="00026F50"/>
    <w:rsid w:val="0002718E"/>
    <w:rsid w:val="00027A07"/>
    <w:rsid w:val="00027D83"/>
    <w:rsid w:val="00030388"/>
    <w:rsid w:val="000304CA"/>
    <w:rsid w:val="00031315"/>
    <w:rsid w:val="00031598"/>
    <w:rsid w:val="0003177D"/>
    <w:rsid w:val="000319EE"/>
    <w:rsid w:val="000321B2"/>
    <w:rsid w:val="000325B8"/>
    <w:rsid w:val="00033677"/>
    <w:rsid w:val="00033EF7"/>
    <w:rsid w:val="00034983"/>
    <w:rsid w:val="00034C15"/>
    <w:rsid w:val="000351B9"/>
    <w:rsid w:val="00035C8C"/>
    <w:rsid w:val="000368C3"/>
    <w:rsid w:val="000368C8"/>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46C"/>
    <w:rsid w:val="00050EC9"/>
    <w:rsid w:val="000515FE"/>
    <w:rsid w:val="00052A07"/>
    <w:rsid w:val="00052C40"/>
    <w:rsid w:val="000534E3"/>
    <w:rsid w:val="00054205"/>
    <w:rsid w:val="0005452C"/>
    <w:rsid w:val="000549E3"/>
    <w:rsid w:val="00054D0D"/>
    <w:rsid w:val="000552B7"/>
    <w:rsid w:val="0005606A"/>
    <w:rsid w:val="000561BE"/>
    <w:rsid w:val="00057117"/>
    <w:rsid w:val="0005724C"/>
    <w:rsid w:val="0005750E"/>
    <w:rsid w:val="00060FF1"/>
    <w:rsid w:val="000616E7"/>
    <w:rsid w:val="00061DE7"/>
    <w:rsid w:val="00061FBA"/>
    <w:rsid w:val="0006262A"/>
    <w:rsid w:val="00062EB8"/>
    <w:rsid w:val="00062ED8"/>
    <w:rsid w:val="00062FC6"/>
    <w:rsid w:val="000645E3"/>
    <w:rsid w:val="0006487E"/>
    <w:rsid w:val="00064E3B"/>
    <w:rsid w:val="00064E62"/>
    <w:rsid w:val="0006540E"/>
    <w:rsid w:val="00065E1A"/>
    <w:rsid w:val="00070603"/>
    <w:rsid w:val="00070B24"/>
    <w:rsid w:val="000715BC"/>
    <w:rsid w:val="00071695"/>
    <w:rsid w:val="000717A0"/>
    <w:rsid w:val="00071AE2"/>
    <w:rsid w:val="000727B2"/>
    <w:rsid w:val="000733E3"/>
    <w:rsid w:val="000741FB"/>
    <w:rsid w:val="00074B98"/>
    <w:rsid w:val="000754D6"/>
    <w:rsid w:val="000771D1"/>
    <w:rsid w:val="00077532"/>
    <w:rsid w:val="00077E5F"/>
    <w:rsid w:val="0008036A"/>
    <w:rsid w:val="0008052D"/>
    <w:rsid w:val="000819F4"/>
    <w:rsid w:val="00081AE6"/>
    <w:rsid w:val="0008269A"/>
    <w:rsid w:val="00082DF4"/>
    <w:rsid w:val="0008337A"/>
    <w:rsid w:val="0008377C"/>
    <w:rsid w:val="00084C85"/>
    <w:rsid w:val="0008535A"/>
    <w:rsid w:val="000855EB"/>
    <w:rsid w:val="00085689"/>
    <w:rsid w:val="000857DB"/>
    <w:rsid w:val="00085B52"/>
    <w:rsid w:val="00085C49"/>
    <w:rsid w:val="00085F23"/>
    <w:rsid w:val="000866F2"/>
    <w:rsid w:val="00086779"/>
    <w:rsid w:val="00086A64"/>
    <w:rsid w:val="0009009F"/>
    <w:rsid w:val="00090130"/>
    <w:rsid w:val="000904D2"/>
    <w:rsid w:val="00091338"/>
    <w:rsid w:val="00091557"/>
    <w:rsid w:val="00091D3B"/>
    <w:rsid w:val="00091E58"/>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A86"/>
    <w:rsid w:val="000A45FD"/>
    <w:rsid w:val="000A530D"/>
    <w:rsid w:val="000A5599"/>
    <w:rsid w:val="000A56F2"/>
    <w:rsid w:val="000A5EAC"/>
    <w:rsid w:val="000A7B2A"/>
    <w:rsid w:val="000B100F"/>
    <w:rsid w:val="000B18DD"/>
    <w:rsid w:val="000B1E08"/>
    <w:rsid w:val="000B2719"/>
    <w:rsid w:val="000B2828"/>
    <w:rsid w:val="000B2DBC"/>
    <w:rsid w:val="000B2F12"/>
    <w:rsid w:val="000B3A8F"/>
    <w:rsid w:val="000B4AB9"/>
    <w:rsid w:val="000B58C3"/>
    <w:rsid w:val="000B61E9"/>
    <w:rsid w:val="000B6356"/>
    <w:rsid w:val="000B7692"/>
    <w:rsid w:val="000C05EA"/>
    <w:rsid w:val="000C0AD4"/>
    <w:rsid w:val="000C0B96"/>
    <w:rsid w:val="000C109C"/>
    <w:rsid w:val="000C165A"/>
    <w:rsid w:val="000C1BD1"/>
    <w:rsid w:val="000C1F68"/>
    <w:rsid w:val="000C22D4"/>
    <w:rsid w:val="000C2424"/>
    <w:rsid w:val="000C2622"/>
    <w:rsid w:val="000C2C2A"/>
    <w:rsid w:val="000C2CDC"/>
    <w:rsid w:val="000C2E19"/>
    <w:rsid w:val="000C3141"/>
    <w:rsid w:val="000C5882"/>
    <w:rsid w:val="000C6E26"/>
    <w:rsid w:val="000C76D9"/>
    <w:rsid w:val="000D0B2A"/>
    <w:rsid w:val="000D0D07"/>
    <w:rsid w:val="000D1485"/>
    <w:rsid w:val="000D4797"/>
    <w:rsid w:val="000D53A8"/>
    <w:rsid w:val="000D57BC"/>
    <w:rsid w:val="000D5E26"/>
    <w:rsid w:val="000D6004"/>
    <w:rsid w:val="000D6477"/>
    <w:rsid w:val="000D6765"/>
    <w:rsid w:val="000D6AF9"/>
    <w:rsid w:val="000D6C9C"/>
    <w:rsid w:val="000D6D11"/>
    <w:rsid w:val="000D70BD"/>
    <w:rsid w:val="000E01B0"/>
    <w:rsid w:val="000E0268"/>
    <w:rsid w:val="000E0527"/>
    <w:rsid w:val="000E0CF7"/>
    <w:rsid w:val="000E0DB9"/>
    <w:rsid w:val="000E0E14"/>
    <w:rsid w:val="000E1E92"/>
    <w:rsid w:val="000E21F7"/>
    <w:rsid w:val="000E2B58"/>
    <w:rsid w:val="000E47CC"/>
    <w:rsid w:val="000E54A5"/>
    <w:rsid w:val="000E6D73"/>
    <w:rsid w:val="000E6EB9"/>
    <w:rsid w:val="000E70A9"/>
    <w:rsid w:val="000F04D1"/>
    <w:rsid w:val="000F06D6"/>
    <w:rsid w:val="000F0EB1"/>
    <w:rsid w:val="000F1106"/>
    <w:rsid w:val="000F1BCA"/>
    <w:rsid w:val="000F20B4"/>
    <w:rsid w:val="000F2C63"/>
    <w:rsid w:val="000F30F4"/>
    <w:rsid w:val="000F3BE9"/>
    <w:rsid w:val="000F3F6C"/>
    <w:rsid w:val="000F4934"/>
    <w:rsid w:val="000F4AAE"/>
    <w:rsid w:val="000F62B3"/>
    <w:rsid w:val="000F6394"/>
    <w:rsid w:val="000F660E"/>
    <w:rsid w:val="000F6A5F"/>
    <w:rsid w:val="000F6D0A"/>
    <w:rsid w:val="000F6DF3"/>
    <w:rsid w:val="000F6F1A"/>
    <w:rsid w:val="000F7E60"/>
    <w:rsid w:val="001005FF"/>
    <w:rsid w:val="00100C38"/>
    <w:rsid w:val="00100F06"/>
    <w:rsid w:val="0010127B"/>
    <w:rsid w:val="00101637"/>
    <w:rsid w:val="001032E8"/>
    <w:rsid w:val="0010414A"/>
    <w:rsid w:val="00105A73"/>
    <w:rsid w:val="001062FB"/>
    <w:rsid w:val="001063E6"/>
    <w:rsid w:val="00106A4A"/>
    <w:rsid w:val="00106B09"/>
    <w:rsid w:val="00106B49"/>
    <w:rsid w:val="00110B23"/>
    <w:rsid w:val="00110D17"/>
    <w:rsid w:val="00111999"/>
    <w:rsid w:val="001122DB"/>
    <w:rsid w:val="00112A86"/>
    <w:rsid w:val="00113CF4"/>
    <w:rsid w:val="001142F1"/>
    <w:rsid w:val="00114D46"/>
    <w:rsid w:val="001153EA"/>
    <w:rsid w:val="00115643"/>
    <w:rsid w:val="00116765"/>
    <w:rsid w:val="001171EB"/>
    <w:rsid w:val="001210DE"/>
    <w:rsid w:val="00121570"/>
    <w:rsid w:val="00121752"/>
    <w:rsid w:val="001219F5"/>
    <w:rsid w:val="00121A20"/>
    <w:rsid w:val="00121E0C"/>
    <w:rsid w:val="00123386"/>
    <w:rsid w:val="001235FD"/>
    <w:rsid w:val="00123610"/>
    <w:rsid w:val="001236C1"/>
    <w:rsid w:val="0012377F"/>
    <w:rsid w:val="00123B7F"/>
    <w:rsid w:val="00124270"/>
    <w:rsid w:val="00124314"/>
    <w:rsid w:val="0012590E"/>
    <w:rsid w:val="00125FBE"/>
    <w:rsid w:val="00126758"/>
    <w:rsid w:val="00126B4A"/>
    <w:rsid w:val="00126C34"/>
    <w:rsid w:val="00127BBD"/>
    <w:rsid w:val="00130168"/>
    <w:rsid w:val="00130D64"/>
    <w:rsid w:val="00130FF5"/>
    <w:rsid w:val="0013140E"/>
    <w:rsid w:val="001316D7"/>
    <w:rsid w:val="00131D6D"/>
    <w:rsid w:val="0013277C"/>
    <w:rsid w:val="00132AF0"/>
    <w:rsid w:val="00132D59"/>
    <w:rsid w:val="00132FD0"/>
    <w:rsid w:val="001337C7"/>
    <w:rsid w:val="001344C0"/>
    <w:rsid w:val="001346FA"/>
    <w:rsid w:val="00134889"/>
    <w:rsid w:val="00135252"/>
    <w:rsid w:val="001356D5"/>
    <w:rsid w:val="0013667F"/>
    <w:rsid w:val="00136DC3"/>
    <w:rsid w:val="00137AB5"/>
    <w:rsid w:val="00137F0B"/>
    <w:rsid w:val="00137FD1"/>
    <w:rsid w:val="00140081"/>
    <w:rsid w:val="00140A58"/>
    <w:rsid w:val="00140D56"/>
    <w:rsid w:val="00140EF8"/>
    <w:rsid w:val="00142529"/>
    <w:rsid w:val="001438E9"/>
    <w:rsid w:val="00143F0A"/>
    <w:rsid w:val="00144780"/>
    <w:rsid w:val="00144DF4"/>
    <w:rsid w:val="00145564"/>
    <w:rsid w:val="00145A69"/>
    <w:rsid w:val="001470AC"/>
    <w:rsid w:val="001471C6"/>
    <w:rsid w:val="00150134"/>
    <w:rsid w:val="00150A58"/>
    <w:rsid w:val="00150B8C"/>
    <w:rsid w:val="00150FA7"/>
    <w:rsid w:val="001518E5"/>
    <w:rsid w:val="00151E23"/>
    <w:rsid w:val="0015210A"/>
    <w:rsid w:val="001526E0"/>
    <w:rsid w:val="001527F5"/>
    <w:rsid w:val="0015295F"/>
    <w:rsid w:val="00153019"/>
    <w:rsid w:val="001551B5"/>
    <w:rsid w:val="0015586D"/>
    <w:rsid w:val="0015632F"/>
    <w:rsid w:val="001567AA"/>
    <w:rsid w:val="00156D7A"/>
    <w:rsid w:val="00157094"/>
    <w:rsid w:val="00157E20"/>
    <w:rsid w:val="001606AE"/>
    <w:rsid w:val="00161640"/>
    <w:rsid w:val="00161E13"/>
    <w:rsid w:val="00162C7A"/>
    <w:rsid w:val="001632E2"/>
    <w:rsid w:val="0016368D"/>
    <w:rsid w:val="00163C12"/>
    <w:rsid w:val="00163E62"/>
    <w:rsid w:val="001645C8"/>
    <w:rsid w:val="0016492E"/>
    <w:rsid w:val="00164DEF"/>
    <w:rsid w:val="00164F4B"/>
    <w:rsid w:val="001659C1"/>
    <w:rsid w:val="00165F32"/>
    <w:rsid w:val="001673AA"/>
    <w:rsid w:val="001705E9"/>
    <w:rsid w:val="001711F3"/>
    <w:rsid w:val="00171EF9"/>
    <w:rsid w:val="0017208D"/>
    <w:rsid w:val="0017289F"/>
    <w:rsid w:val="0017293D"/>
    <w:rsid w:val="00172C61"/>
    <w:rsid w:val="00173A8E"/>
    <w:rsid w:val="00174538"/>
    <w:rsid w:val="0017483D"/>
    <w:rsid w:val="0017484B"/>
    <w:rsid w:val="0017502C"/>
    <w:rsid w:val="00175360"/>
    <w:rsid w:val="00175B68"/>
    <w:rsid w:val="00175EBF"/>
    <w:rsid w:val="00176680"/>
    <w:rsid w:val="0018009C"/>
    <w:rsid w:val="001803D7"/>
    <w:rsid w:val="001803EE"/>
    <w:rsid w:val="00180BAE"/>
    <w:rsid w:val="0018143F"/>
    <w:rsid w:val="001815AD"/>
    <w:rsid w:val="00181602"/>
    <w:rsid w:val="00181FF8"/>
    <w:rsid w:val="00183849"/>
    <w:rsid w:val="0018429C"/>
    <w:rsid w:val="0018500C"/>
    <w:rsid w:val="001860B8"/>
    <w:rsid w:val="0018664A"/>
    <w:rsid w:val="001869F7"/>
    <w:rsid w:val="0018756E"/>
    <w:rsid w:val="0019026F"/>
    <w:rsid w:val="00190AC1"/>
    <w:rsid w:val="001914CB"/>
    <w:rsid w:val="00191B90"/>
    <w:rsid w:val="00191CBB"/>
    <w:rsid w:val="001926E3"/>
    <w:rsid w:val="001929F7"/>
    <w:rsid w:val="0019341A"/>
    <w:rsid w:val="00193EDF"/>
    <w:rsid w:val="00194C84"/>
    <w:rsid w:val="00194EA4"/>
    <w:rsid w:val="001962B0"/>
    <w:rsid w:val="00197127"/>
    <w:rsid w:val="00197DF9"/>
    <w:rsid w:val="001A1987"/>
    <w:rsid w:val="001A2564"/>
    <w:rsid w:val="001A30F2"/>
    <w:rsid w:val="001A3C44"/>
    <w:rsid w:val="001A3D65"/>
    <w:rsid w:val="001A44A6"/>
    <w:rsid w:val="001A460C"/>
    <w:rsid w:val="001A54F3"/>
    <w:rsid w:val="001A5597"/>
    <w:rsid w:val="001A57F8"/>
    <w:rsid w:val="001A585A"/>
    <w:rsid w:val="001A5CD8"/>
    <w:rsid w:val="001A5E7F"/>
    <w:rsid w:val="001A6173"/>
    <w:rsid w:val="001A6CBA"/>
    <w:rsid w:val="001B0728"/>
    <w:rsid w:val="001B0849"/>
    <w:rsid w:val="001B0D97"/>
    <w:rsid w:val="001B129B"/>
    <w:rsid w:val="001B19A5"/>
    <w:rsid w:val="001B2241"/>
    <w:rsid w:val="001B2EB0"/>
    <w:rsid w:val="001B39B6"/>
    <w:rsid w:val="001B5A5D"/>
    <w:rsid w:val="001B5D7B"/>
    <w:rsid w:val="001B6D03"/>
    <w:rsid w:val="001B7205"/>
    <w:rsid w:val="001B7745"/>
    <w:rsid w:val="001C027A"/>
    <w:rsid w:val="001C0779"/>
    <w:rsid w:val="001C1BCB"/>
    <w:rsid w:val="001C1CE5"/>
    <w:rsid w:val="001C3D2A"/>
    <w:rsid w:val="001C40C6"/>
    <w:rsid w:val="001C4E75"/>
    <w:rsid w:val="001C5B29"/>
    <w:rsid w:val="001C5D94"/>
    <w:rsid w:val="001C6F53"/>
    <w:rsid w:val="001C7660"/>
    <w:rsid w:val="001C7E98"/>
    <w:rsid w:val="001D0185"/>
    <w:rsid w:val="001D01B6"/>
    <w:rsid w:val="001D03AE"/>
    <w:rsid w:val="001D03EC"/>
    <w:rsid w:val="001D0A39"/>
    <w:rsid w:val="001D0AA5"/>
    <w:rsid w:val="001D1E31"/>
    <w:rsid w:val="001D26D8"/>
    <w:rsid w:val="001D3195"/>
    <w:rsid w:val="001D31FA"/>
    <w:rsid w:val="001D43A7"/>
    <w:rsid w:val="001D4656"/>
    <w:rsid w:val="001D51BA"/>
    <w:rsid w:val="001D52F5"/>
    <w:rsid w:val="001D53E7"/>
    <w:rsid w:val="001D5416"/>
    <w:rsid w:val="001D61AE"/>
    <w:rsid w:val="001D6342"/>
    <w:rsid w:val="001D6B10"/>
    <w:rsid w:val="001D6D53"/>
    <w:rsid w:val="001D6D9E"/>
    <w:rsid w:val="001D7314"/>
    <w:rsid w:val="001D7753"/>
    <w:rsid w:val="001D7B5A"/>
    <w:rsid w:val="001D7E5E"/>
    <w:rsid w:val="001E0153"/>
    <w:rsid w:val="001E02A3"/>
    <w:rsid w:val="001E0C76"/>
    <w:rsid w:val="001E1414"/>
    <w:rsid w:val="001E1D2D"/>
    <w:rsid w:val="001E2EDA"/>
    <w:rsid w:val="001E33B1"/>
    <w:rsid w:val="001E3E85"/>
    <w:rsid w:val="001E4916"/>
    <w:rsid w:val="001E4A0E"/>
    <w:rsid w:val="001E539A"/>
    <w:rsid w:val="001E55C1"/>
    <w:rsid w:val="001E575B"/>
    <w:rsid w:val="001E581A"/>
    <w:rsid w:val="001E58E2"/>
    <w:rsid w:val="001E5955"/>
    <w:rsid w:val="001E5A94"/>
    <w:rsid w:val="001E6C25"/>
    <w:rsid w:val="001E7AED"/>
    <w:rsid w:val="001F13D1"/>
    <w:rsid w:val="001F1CB5"/>
    <w:rsid w:val="001F3916"/>
    <w:rsid w:val="001F43CD"/>
    <w:rsid w:val="001F4EDB"/>
    <w:rsid w:val="001F4EEB"/>
    <w:rsid w:val="001F5197"/>
    <w:rsid w:val="001F5432"/>
    <w:rsid w:val="001F54C5"/>
    <w:rsid w:val="001F5F7B"/>
    <w:rsid w:val="001F662C"/>
    <w:rsid w:val="001F7074"/>
    <w:rsid w:val="001F724A"/>
    <w:rsid w:val="001F78AE"/>
    <w:rsid w:val="00200490"/>
    <w:rsid w:val="00200A16"/>
    <w:rsid w:val="00201C90"/>
    <w:rsid w:val="00201D25"/>
    <w:rsid w:val="00201E21"/>
    <w:rsid w:val="00201F3A"/>
    <w:rsid w:val="00202297"/>
    <w:rsid w:val="00203F96"/>
    <w:rsid w:val="00204359"/>
    <w:rsid w:val="00204490"/>
    <w:rsid w:val="00205476"/>
    <w:rsid w:val="00205E4B"/>
    <w:rsid w:val="00205EBC"/>
    <w:rsid w:val="00206257"/>
    <w:rsid w:val="002069B2"/>
    <w:rsid w:val="00206D7D"/>
    <w:rsid w:val="00207378"/>
    <w:rsid w:val="00207828"/>
    <w:rsid w:val="00207FA3"/>
    <w:rsid w:val="00207FC8"/>
    <w:rsid w:val="002104E5"/>
    <w:rsid w:val="002114BA"/>
    <w:rsid w:val="00211D95"/>
    <w:rsid w:val="002121C3"/>
    <w:rsid w:val="002124A6"/>
    <w:rsid w:val="00214015"/>
    <w:rsid w:val="0021410A"/>
    <w:rsid w:val="0021458D"/>
    <w:rsid w:val="00214DA8"/>
    <w:rsid w:val="00215423"/>
    <w:rsid w:val="00215874"/>
    <w:rsid w:val="002158FA"/>
    <w:rsid w:val="00215DDB"/>
    <w:rsid w:val="0021785C"/>
    <w:rsid w:val="00217BD9"/>
    <w:rsid w:val="00220600"/>
    <w:rsid w:val="00220EFF"/>
    <w:rsid w:val="0022185B"/>
    <w:rsid w:val="002218B2"/>
    <w:rsid w:val="00221F03"/>
    <w:rsid w:val="00221F0F"/>
    <w:rsid w:val="002224DB"/>
    <w:rsid w:val="00222705"/>
    <w:rsid w:val="002233D4"/>
    <w:rsid w:val="002237A2"/>
    <w:rsid w:val="0022391A"/>
    <w:rsid w:val="00223E72"/>
    <w:rsid w:val="00223FCB"/>
    <w:rsid w:val="00224157"/>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1E71"/>
    <w:rsid w:val="00233483"/>
    <w:rsid w:val="002342D5"/>
    <w:rsid w:val="00235632"/>
    <w:rsid w:val="00235872"/>
    <w:rsid w:val="00235C79"/>
    <w:rsid w:val="00236EED"/>
    <w:rsid w:val="00237045"/>
    <w:rsid w:val="0023739B"/>
    <w:rsid w:val="00237F81"/>
    <w:rsid w:val="00237FC2"/>
    <w:rsid w:val="00240A4B"/>
    <w:rsid w:val="00241343"/>
    <w:rsid w:val="00241559"/>
    <w:rsid w:val="00241EAD"/>
    <w:rsid w:val="002435B3"/>
    <w:rsid w:val="00243BBE"/>
    <w:rsid w:val="0024418C"/>
    <w:rsid w:val="002443B9"/>
    <w:rsid w:val="00244615"/>
    <w:rsid w:val="002446BA"/>
    <w:rsid w:val="002448D3"/>
    <w:rsid w:val="002449E2"/>
    <w:rsid w:val="00244F46"/>
    <w:rsid w:val="002458EB"/>
    <w:rsid w:val="0024610D"/>
    <w:rsid w:val="00246767"/>
    <w:rsid w:val="002470B7"/>
    <w:rsid w:val="002474C6"/>
    <w:rsid w:val="002475ED"/>
    <w:rsid w:val="00247A87"/>
    <w:rsid w:val="002500C8"/>
    <w:rsid w:val="00250756"/>
    <w:rsid w:val="00251DD6"/>
    <w:rsid w:val="00252272"/>
    <w:rsid w:val="00252D8F"/>
    <w:rsid w:val="0025343E"/>
    <w:rsid w:val="00254049"/>
    <w:rsid w:val="002540B3"/>
    <w:rsid w:val="002548F3"/>
    <w:rsid w:val="0025526B"/>
    <w:rsid w:val="00255373"/>
    <w:rsid w:val="00255FB6"/>
    <w:rsid w:val="002562AA"/>
    <w:rsid w:val="002566C0"/>
    <w:rsid w:val="00257543"/>
    <w:rsid w:val="00261644"/>
    <w:rsid w:val="002617E7"/>
    <w:rsid w:val="00262F3B"/>
    <w:rsid w:val="0026322D"/>
    <w:rsid w:val="00264228"/>
    <w:rsid w:val="00264334"/>
    <w:rsid w:val="0026456D"/>
    <w:rsid w:val="00264624"/>
    <w:rsid w:val="0026473E"/>
    <w:rsid w:val="00264A17"/>
    <w:rsid w:val="00264FCE"/>
    <w:rsid w:val="00266214"/>
    <w:rsid w:val="0026622B"/>
    <w:rsid w:val="0026632E"/>
    <w:rsid w:val="00267C83"/>
    <w:rsid w:val="0027042F"/>
    <w:rsid w:val="002705D4"/>
    <w:rsid w:val="00270667"/>
    <w:rsid w:val="0027144F"/>
    <w:rsid w:val="00271813"/>
    <w:rsid w:val="002719EF"/>
    <w:rsid w:val="00271F3A"/>
    <w:rsid w:val="00273278"/>
    <w:rsid w:val="002737F4"/>
    <w:rsid w:val="0027389F"/>
    <w:rsid w:val="00273BCF"/>
    <w:rsid w:val="002740CC"/>
    <w:rsid w:val="002740F8"/>
    <w:rsid w:val="00274DD9"/>
    <w:rsid w:val="00274F3E"/>
    <w:rsid w:val="0027501A"/>
    <w:rsid w:val="00275AE5"/>
    <w:rsid w:val="0027665D"/>
    <w:rsid w:val="00276AD9"/>
    <w:rsid w:val="00276B54"/>
    <w:rsid w:val="00277D7A"/>
    <w:rsid w:val="002805F5"/>
    <w:rsid w:val="00280751"/>
    <w:rsid w:val="00280E65"/>
    <w:rsid w:val="0028176E"/>
    <w:rsid w:val="002820C9"/>
    <w:rsid w:val="00282290"/>
    <w:rsid w:val="0028280A"/>
    <w:rsid w:val="002833A5"/>
    <w:rsid w:val="002853F1"/>
    <w:rsid w:val="00286ACD"/>
    <w:rsid w:val="00287838"/>
    <w:rsid w:val="00287846"/>
    <w:rsid w:val="00287F99"/>
    <w:rsid w:val="00290082"/>
    <w:rsid w:val="002907B5"/>
    <w:rsid w:val="00292E30"/>
    <w:rsid w:val="00292EB7"/>
    <w:rsid w:val="00293A4F"/>
    <w:rsid w:val="00293F64"/>
    <w:rsid w:val="00294A16"/>
    <w:rsid w:val="00294A5E"/>
    <w:rsid w:val="00295F29"/>
    <w:rsid w:val="0029614F"/>
    <w:rsid w:val="00296227"/>
    <w:rsid w:val="002963B1"/>
    <w:rsid w:val="002965A5"/>
    <w:rsid w:val="00296A0B"/>
    <w:rsid w:val="00296F44"/>
    <w:rsid w:val="0029777D"/>
    <w:rsid w:val="0029798D"/>
    <w:rsid w:val="002A0327"/>
    <w:rsid w:val="002A055E"/>
    <w:rsid w:val="002A0BF6"/>
    <w:rsid w:val="002A1C50"/>
    <w:rsid w:val="002A1D4E"/>
    <w:rsid w:val="002A2869"/>
    <w:rsid w:val="002A2B81"/>
    <w:rsid w:val="002A30EC"/>
    <w:rsid w:val="002A3850"/>
    <w:rsid w:val="002A4C2E"/>
    <w:rsid w:val="002A5FEC"/>
    <w:rsid w:val="002A62EC"/>
    <w:rsid w:val="002A6B39"/>
    <w:rsid w:val="002B0B20"/>
    <w:rsid w:val="002B24D6"/>
    <w:rsid w:val="002B2D9B"/>
    <w:rsid w:val="002B4A72"/>
    <w:rsid w:val="002B50E9"/>
    <w:rsid w:val="002B64BF"/>
    <w:rsid w:val="002B6A97"/>
    <w:rsid w:val="002B72D7"/>
    <w:rsid w:val="002B799E"/>
    <w:rsid w:val="002C06AD"/>
    <w:rsid w:val="002C0A44"/>
    <w:rsid w:val="002C0C04"/>
    <w:rsid w:val="002C1D76"/>
    <w:rsid w:val="002C25AB"/>
    <w:rsid w:val="002C2A74"/>
    <w:rsid w:val="002C3380"/>
    <w:rsid w:val="002C3388"/>
    <w:rsid w:val="002C34E8"/>
    <w:rsid w:val="002C41E6"/>
    <w:rsid w:val="002C5220"/>
    <w:rsid w:val="002C6641"/>
    <w:rsid w:val="002D071A"/>
    <w:rsid w:val="002D0ACB"/>
    <w:rsid w:val="002D1DF1"/>
    <w:rsid w:val="002D2537"/>
    <w:rsid w:val="002D27F2"/>
    <w:rsid w:val="002D34B2"/>
    <w:rsid w:val="002D38F1"/>
    <w:rsid w:val="002D3B4E"/>
    <w:rsid w:val="002D3BCA"/>
    <w:rsid w:val="002D4472"/>
    <w:rsid w:val="002D48B0"/>
    <w:rsid w:val="002D4B3C"/>
    <w:rsid w:val="002D4D23"/>
    <w:rsid w:val="002D5B37"/>
    <w:rsid w:val="002D5DBF"/>
    <w:rsid w:val="002D5E0F"/>
    <w:rsid w:val="002D663C"/>
    <w:rsid w:val="002D6696"/>
    <w:rsid w:val="002D7637"/>
    <w:rsid w:val="002E0358"/>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610"/>
    <w:rsid w:val="002E6945"/>
    <w:rsid w:val="002E6C7D"/>
    <w:rsid w:val="002E78FB"/>
    <w:rsid w:val="002E7AE2"/>
    <w:rsid w:val="002E7CAE"/>
    <w:rsid w:val="002F0301"/>
    <w:rsid w:val="002F184F"/>
    <w:rsid w:val="002F189E"/>
    <w:rsid w:val="002F2771"/>
    <w:rsid w:val="002F37A9"/>
    <w:rsid w:val="002F39A2"/>
    <w:rsid w:val="002F43BA"/>
    <w:rsid w:val="002F5006"/>
    <w:rsid w:val="002F61AB"/>
    <w:rsid w:val="002F67E3"/>
    <w:rsid w:val="002F6F28"/>
    <w:rsid w:val="003008C9"/>
    <w:rsid w:val="003009ED"/>
    <w:rsid w:val="00300FBE"/>
    <w:rsid w:val="00301CE6"/>
    <w:rsid w:val="00302342"/>
    <w:rsid w:val="0030256B"/>
    <w:rsid w:val="00302BF8"/>
    <w:rsid w:val="00302F26"/>
    <w:rsid w:val="00304F48"/>
    <w:rsid w:val="0030501F"/>
    <w:rsid w:val="00305AD1"/>
    <w:rsid w:val="00305BB0"/>
    <w:rsid w:val="003066A2"/>
    <w:rsid w:val="00306849"/>
    <w:rsid w:val="00306F3E"/>
    <w:rsid w:val="0030759A"/>
    <w:rsid w:val="00307BA1"/>
    <w:rsid w:val="003103D6"/>
    <w:rsid w:val="00311702"/>
    <w:rsid w:val="00311902"/>
    <w:rsid w:val="00311E82"/>
    <w:rsid w:val="0031261D"/>
    <w:rsid w:val="003137F9"/>
    <w:rsid w:val="00313B85"/>
    <w:rsid w:val="00313FD6"/>
    <w:rsid w:val="003143BD"/>
    <w:rsid w:val="00315363"/>
    <w:rsid w:val="00316DE0"/>
    <w:rsid w:val="0031711C"/>
    <w:rsid w:val="003176B5"/>
    <w:rsid w:val="00317A2D"/>
    <w:rsid w:val="003203ED"/>
    <w:rsid w:val="0032100E"/>
    <w:rsid w:val="00321D97"/>
    <w:rsid w:val="00321ED3"/>
    <w:rsid w:val="00322A11"/>
    <w:rsid w:val="00322C9F"/>
    <w:rsid w:val="003237BE"/>
    <w:rsid w:val="00323967"/>
    <w:rsid w:val="00324D23"/>
    <w:rsid w:val="00324F06"/>
    <w:rsid w:val="003255DA"/>
    <w:rsid w:val="003263D2"/>
    <w:rsid w:val="0032667D"/>
    <w:rsid w:val="00326E36"/>
    <w:rsid w:val="0032731D"/>
    <w:rsid w:val="003273FF"/>
    <w:rsid w:val="00330539"/>
    <w:rsid w:val="00331751"/>
    <w:rsid w:val="00331A4C"/>
    <w:rsid w:val="00331A71"/>
    <w:rsid w:val="00331F85"/>
    <w:rsid w:val="003324D6"/>
    <w:rsid w:val="003327ED"/>
    <w:rsid w:val="0033426E"/>
    <w:rsid w:val="00334579"/>
    <w:rsid w:val="00334898"/>
    <w:rsid w:val="00334D5A"/>
    <w:rsid w:val="00335541"/>
    <w:rsid w:val="00335614"/>
    <w:rsid w:val="00335858"/>
    <w:rsid w:val="0033588E"/>
    <w:rsid w:val="0033594C"/>
    <w:rsid w:val="003362FA"/>
    <w:rsid w:val="00336BDA"/>
    <w:rsid w:val="00337D29"/>
    <w:rsid w:val="003412BA"/>
    <w:rsid w:val="003416FF"/>
    <w:rsid w:val="003419E1"/>
    <w:rsid w:val="00341E8E"/>
    <w:rsid w:val="003423EA"/>
    <w:rsid w:val="0034294A"/>
    <w:rsid w:val="003429D4"/>
    <w:rsid w:val="00342BD7"/>
    <w:rsid w:val="00342DF9"/>
    <w:rsid w:val="003434F8"/>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447"/>
    <w:rsid w:val="00353F49"/>
    <w:rsid w:val="00355E36"/>
    <w:rsid w:val="00357293"/>
    <w:rsid w:val="00357380"/>
    <w:rsid w:val="003602D9"/>
    <w:rsid w:val="003604CE"/>
    <w:rsid w:val="00360543"/>
    <w:rsid w:val="00360DFA"/>
    <w:rsid w:val="00361A3A"/>
    <w:rsid w:val="003622AB"/>
    <w:rsid w:val="00366750"/>
    <w:rsid w:val="00370360"/>
    <w:rsid w:val="00370CD7"/>
    <w:rsid w:val="00370E1C"/>
    <w:rsid w:val="00370E47"/>
    <w:rsid w:val="003716E8"/>
    <w:rsid w:val="00371AF3"/>
    <w:rsid w:val="00372D82"/>
    <w:rsid w:val="00372E09"/>
    <w:rsid w:val="00372E99"/>
    <w:rsid w:val="003730A5"/>
    <w:rsid w:val="00373A77"/>
    <w:rsid w:val="003742AC"/>
    <w:rsid w:val="00374323"/>
    <w:rsid w:val="00374379"/>
    <w:rsid w:val="003747C8"/>
    <w:rsid w:val="00375248"/>
    <w:rsid w:val="003759A6"/>
    <w:rsid w:val="003763A4"/>
    <w:rsid w:val="003776B9"/>
    <w:rsid w:val="00377CE1"/>
    <w:rsid w:val="0038189B"/>
    <w:rsid w:val="00382257"/>
    <w:rsid w:val="00383093"/>
    <w:rsid w:val="00383105"/>
    <w:rsid w:val="00383E08"/>
    <w:rsid w:val="0038502C"/>
    <w:rsid w:val="00385BF0"/>
    <w:rsid w:val="00386140"/>
    <w:rsid w:val="00386181"/>
    <w:rsid w:val="00386A13"/>
    <w:rsid w:val="00387FB8"/>
    <w:rsid w:val="00390E1E"/>
    <w:rsid w:val="00391C3D"/>
    <w:rsid w:val="00392E74"/>
    <w:rsid w:val="0039387A"/>
    <w:rsid w:val="003939FF"/>
    <w:rsid w:val="00393E68"/>
    <w:rsid w:val="00394248"/>
    <w:rsid w:val="00394DF0"/>
    <w:rsid w:val="00395454"/>
    <w:rsid w:val="00395A35"/>
    <w:rsid w:val="003965F0"/>
    <w:rsid w:val="00397924"/>
    <w:rsid w:val="00397C26"/>
    <w:rsid w:val="00397F57"/>
    <w:rsid w:val="003A0541"/>
    <w:rsid w:val="003A0BE1"/>
    <w:rsid w:val="003A16C5"/>
    <w:rsid w:val="003A2223"/>
    <w:rsid w:val="003A22AC"/>
    <w:rsid w:val="003A2A0F"/>
    <w:rsid w:val="003A45A1"/>
    <w:rsid w:val="003A5B0A"/>
    <w:rsid w:val="003A5C19"/>
    <w:rsid w:val="003A60E9"/>
    <w:rsid w:val="003A63E1"/>
    <w:rsid w:val="003A6BAC"/>
    <w:rsid w:val="003A6E52"/>
    <w:rsid w:val="003A70A4"/>
    <w:rsid w:val="003A747B"/>
    <w:rsid w:val="003A7EF3"/>
    <w:rsid w:val="003B03C6"/>
    <w:rsid w:val="003B0437"/>
    <w:rsid w:val="003B0BC2"/>
    <w:rsid w:val="003B0F5F"/>
    <w:rsid w:val="003B159C"/>
    <w:rsid w:val="003B2113"/>
    <w:rsid w:val="003B2B3A"/>
    <w:rsid w:val="003B369F"/>
    <w:rsid w:val="003B36A3"/>
    <w:rsid w:val="003B36B7"/>
    <w:rsid w:val="003B3AE4"/>
    <w:rsid w:val="003B418D"/>
    <w:rsid w:val="003B43B5"/>
    <w:rsid w:val="003B4D78"/>
    <w:rsid w:val="003B4E4B"/>
    <w:rsid w:val="003B612B"/>
    <w:rsid w:val="003B62C2"/>
    <w:rsid w:val="003B64BB"/>
    <w:rsid w:val="003B654D"/>
    <w:rsid w:val="003B6CEF"/>
    <w:rsid w:val="003B72A7"/>
    <w:rsid w:val="003B7FE5"/>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567"/>
    <w:rsid w:val="003D0C9F"/>
    <w:rsid w:val="003D1000"/>
    <w:rsid w:val="003D109F"/>
    <w:rsid w:val="003D1450"/>
    <w:rsid w:val="003D18A6"/>
    <w:rsid w:val="003D2478"/>
    <w:rsid w:val="003D284E"/>
    <w:rsid w:val="003D2A2D"/>
    <w:rsid w:val="003D383E"/>
    <w:rsid w:val="003D3B2C"/>
    <w:rsid w:val="003D3C45"/>
    <w:rsid w:val="003D483A"/>
    <w:rsid w:val="003D500F"/>
    <w:rsid w:val="003D5B1F"/>
    <w:rsid w:val="003D6603"/>
    <w:rsid w:val="003D6C05"/>
    <w:rsid w:val="003E15FA"/>
    <w:rsid w:val="003E2A90"/>
    <w:rsid w:val="003E32E3"/>
    <w:rsid w:val="003E55E4"/>
    <w:rsid w:val="003E607A"/>
    <w:rsid w:val="003E60BD"/>
    <w:rsid w:val="003E61B9"/>
    <w:rsid w:val="003E73BC"/>
    <w:rsid w:val="003E74E3"/>
    <w:rsid w:val="003E7925"/>
    <w:rsid w:val="003E7E34"/>
    <w:rsid w:val="003F052D"/>
    <w:rsid w:val="003F05C7"/>
    <w:rsid w:val="003F0CB1"/>
    <w:rsid w:val="003F10AA"/>
    <w:rsid w:val="003F13B4"/>
    <w:rsid w:val="003F18CE"/>
    <w:rsid w:val="003F2443"/>
    <w:rsid w:val="003F263B"/>
    <w:rsid w:val="003F2CD4"/>
    <w:rsid w:val="003F2DE6"/>
    <w:rsid w:val="003F33C0"/>
    <w:rsid w:val="003F3687"/>
    <w:rsid w:val="003F3A02"/>
    <w:rsid w:val="003F4155"/>
    <w:rsid w:val="003F4946"/>
    <w:rsid w:val="003F4DD9"/>
    <w:rsid w:val="003F59D3"/>
    <w:rsid w:val="003F6662"/>
    <w:rsid w:val="003F6839"/>
    <w:rsid w:val="003F68C2"/>
    <w:rsid w:val="003F69EB"/>
    <w:rsid w:val="003F6BBE"/>
    <w:rsid w:val="003F7B74"/>
    <w:rsid w:val="003F7DD7"/>
    <w:rsid w:val="004000E8"/>
    <w:rsid w:val="004006DB"/>
    <w:rsid w:val="004010E9"/>
    <w:rsid w:val="0040152E"/>
    <w:rsid w:val="004026D9"/>
    <w:rsid w:val="00402A72"/>
    <w:rsid w:val="00402E2B"/>
    <w:rsid w:val="0040392A"/>
    <w:rsid w:val="00403B06"/>
    <w:rsid w:val="004041D8"/>
    <w:rsid w:val="00405022"/>
    <w:rsid w:val="0040512B"/>
    <w:rsid w:val="004052E5"/>
    <w:rsid w:val="0040541D"/>
    <w:rsid w:val="00405B53"/>
    <w:rsid w:val="00405CA5"/>
    <w:rsid w:val="00406C91"/>
    <w:rsid w:val="00406D3D"/>
    <w:rsid w:val="00407A70"/>
    <w:rsid w:val="00407CD3"/>
    <w:rsid w:val="00410134"/>
    <w:rsid w:val="004103E6"/>
    <w:rsid w:val="00410504"/>
    <w:rsid w:val="00410B72"/>
    <w:rsid w:val="00410F18"/>
    <w:rsid w:val="00411A57"/>
    <w:rsid w:val="00411C39"/>
    <w:rsid w:val="00411E38"/>
    <w:rsid w:val="00411E65"/>
    <w:rsid w:val="0041263E"/>
    <w:rsid w:val="00412FAD"/>
    <w:rsid w:val="00413AAC"/>
    <w:rsid w:val="00413E92"/>
    <w:rsid w:val="0041505B"/>
    <w:rsid w:val="0041538A"/>
    <w:rsid w:val="004157BA"/>
    <w:rsid w:val="004172C7"/>
    <w:rsid w:val="00417879"/>
    <w:rsid w:val="00417BCB"/>
    <w:rsid w:val="0042077B"/>
    <w:rsid w:val="00420DD8"/>
    <w:rsid w:val="00421105"/>
    <w:rsid w:val="004229E8"/>
    <w:rsid w:val="00422AA4"/>
    <w:rsid w:val="00422DB6"/>
    <w:rsid w:val="00423192"/>
    <w:rsid w:val="00423581"/>
    <w:rsid w:val="004242F4"/>
    <w:rsid w:val="00425FBA"/>
    <w:rsid w:val="004261FF"/>
    <w:rsid w:val="004265EE"/>
    <w:rsid w:val="00426746"/>
    <w:rsid w:val="00426A57"/>
    <w:rsid w:val="00427248"/>
    <w:rsid w:val="004306E4"/>
    <w:rsid w:val="00430869"/>
    <w:rsid w:val="004321E1"/>
    <w:rsid w:val="004323FC"/>
    <w:rsid w:val="00432DDF"/>
    <w:rsid w:val="004335FF"/>
    <w:rsid w:val="00433ACC"/>
    <w:rsid w:val="0043491F"/>
    <w:rsid w:val="00434928"/>
    <w:rsid w:val="00434A81"/>
    <w:rsid w:val="00435AC4"/>
    <w:rsid w:val="00436258"/>
    <w:rsid w:val="00437447"/>
    <w:rsid w:val="00437C84"/>
    <w:rsid w:val="00441A92"/>
    <w:rsid w:val="004431DC"/>
    <w:rsid w:val="00443234"/>
    <w:rsid w:val="0044325A"/>
    <w:rsid w:val="004434AB"/>
    <w:rsid w:val="0044399A"/>
    <w:rsid w:val="00444F56"/>
    <w:rsid w:val="00444FCD"/>
    <w:rsid w:val="004450D7"/>
    <w:rsid w:val="00445E95"/>
    <w:rsid w:val="00446488"/>
    <w:rsid w:val="0044660D"/>
    <w:rsid w:val="00450BD8"/>
    <w:rsid w:val="00450FC3"/>
    <w:rsid w:val="00451586"/>
    <w:rsid w:val="004517AA"/>
    <w:rsid w:val="00452495"/>
    <w:rsid w:val="00452CAC"/>
    <w:rsid w:val="00452E3D"/>
    <w:rsid w:val="00454C57"/>
    <w:rsid w:val="004559A1"/>
    <w:rsid w:val="00455D57"/>
    <w:rsid w:val="00456786"/>
    <w:rsid w:val="00456D41"/>
    <w:rsid w:val="004574C4"/>
    <w:rsid w:val="00457565"/>
    <w:rsid w:val="00457B71"/>
    <w:rsid w:val="00457D20"/>
    <w:rsid w:val="004600E4"/>
    <w:rsid w:val="00460EA0"/>
    <w:rsid w:val="00461142"/>
    <w:rsid w:val="00461D94"/>
    <w:rsid w:val="00462E6D"/>
    <w:rsid w:val="00463957"/>
    <w:rsid w:val="00463FB0"/>
    <w:rsid w:val="00465BD3"/>
    <w:rsid w:val="00466112"/>
    <w:rsid w:val="004662E0"/>
    <w:rsid w:val="00466577"/>
    <w:rsid w:val="004669E2"/>
    <w:rsid w:val="00466AB3"/>
    <w:rsid w:val="00466E62"/>
    <w:rsid w:val="004678AE"/>
    <w:rsid w:val="00467926"/>
    <w:rsid w:val="00470036"/>
    <w:rsid w:val="004704C2"/>
    <w:rsid w:val="00470C31"/>
    <w:rsid w:val="00471DE0"/>
    <w:rsid w:val="00472777"/>
    <w:rsid w:val="00472B24"/>
    <w:rsid w:val="00472E4A"/>
    <w:rsid w:val="004734D0"/>
    <w:rsid w:val="0047556B"/>
    <w:rsid w:val="004759BE"/>
    <w:rsid w:val="00475AB1"/>
    <w:rsid w:val="004762D0"/>
    <w:rsid w:val="00477016"/>
    <w:rsid w:val="00477534"/>
    <w:rsid w:val="00477768"/>
    <w:rsid w:val="00483FDA"/>
    <w:rsid w:val="00484B0F"/>
    <w:rsid w:val="00484C4E"/>
    <w:rsid w:val="00484CBE"/>
    <w:rsid w:val="00484FF9"/>
    <w:rsid w:val="004850DB"/>
    <w:rsid w:val="0048582B"/>
    <w:rsid w:val="0048735A"/>
    <w:rsid w:val="0048758E"/>
    <w:rsid w:val="004900DB"/>
    <w:rsid w:val="00490F7D"/>
    <w:rsid w:val="00492BC5"/>
    <w:rsid w:val="0049397C"/>
    <w:rsid w:val="00495685"/>
    <w:rsid w:val="004963AE"/>
    <w:rsid w:val="004964F1"/>
    <w:rsid w:val="00497681"/>
    <w:rsid w:val="00497E12"/>
    <w:rsid w:val="004A0190"/>
    <w:rsid w:val="004A0B6B"/>
    <w:rsid w:val="004A0F92"/>
    <w:rsid w:val="004A16BC"/>
    <w:rsid w:val="004A2476"/>
    <w:rsid w:val="004A2B94"/>
    <w:rsid w:val="004A3164"/>
    <w:rsid w:val="004A3210"/>
    <w:rsid w:val="004A3B26"/>
    <w:rsid w:val="004A4332"/>
    <w:rsid w:val="004A4651"/>
    <w:rsid w:val="004A5638"/>
    <w:rsid w:val="004A5CFA"/>
    <w:rsid w:val="004A6BC3"/>
    <w:rsid w:val="004B0528"/>
    <w:rsid w:val="004B1B24"/>
    <w:rsid w:val="004B3205"/>
    <w:rsid w:val="004B3554"/>
    <w:rsid w:val="004B40D7"/>
    <w:rsid w:val="004B4904"/>
    <w:rsid w:val="004B49A7"/>
    <w:rsid w:val="004B4D5C"/>
    <w:rsid w:val="004B5041"/>
    <w:rsid w:val="004B610F"/>
    <w:rsid w:val="004B6A74"/>
    <w:rsid w:val="004B6DFD"/>
    <w:rsid w:val="004B6F6A"/>
    <w:rsid w:val="004B7C0C"/>
    <w:rsid w:val="004C00D5"/>
    <w:rsid w:val="004C186A"/>
    <w:rsid w:val="004C224A"/>
    <w:rsid w:val="004C2755"/>
    <w:rsid w:val="004C35E3"/>
    <w:rsid w:val="004C3806"/>
    <w:rsid w:val="004C3898"/>
    <w:rsid w:val="004C3C02"/>
    <w:rsid w:val="004C3C5C"/>
    <w:rsid w:val="004C3C6F"/>
    <w:rsid w:val="004C6B23"/>
    <w:rsid w:val="004C71D5"/>
    <w:rsid w:val="004C7252"/>
    <w:rsid w:val="004D020D"/>
    <w:rsid w:val="004D0A70"/>
    <w:rsid w:val="004D20E7"/>
    <w:rsid w:val="004D2965"/>
    <w:rsid w:val="004D36B1"/>
    <w:rsid w:val="004D3BAD"/>
    <w:rsid w:val="004D41C1"/>
    <w:rsid w:val="004D6773"/>
    <w:rsid w:val="004D7762"/>
    <w:rsid w:val="004D7BE0"/>
    <w:rsid w:val="004D7EBD"/>
    <w:rsid w:val="004E2680"/>
    <w:rsid w:val="004E28F9"/>
    <w:rsid w:val="004E2FFB"/>
    <w:rsid w:val="004E4487"/>
    <w:rsid w:val="004E462E"/>
    <w:rsid w:val="004E5108"/>
    <w:rsid w:val="004E5593"/>
    <w:rsid w:val="004E56DC"/>
    <w:rsid w:val="004E5FED"/>
    <w:rsid w:val="004E60CC"/>
    <w:rsid w:val="004E6181"/>
    <w:rsid w:val="004E6556"/>
    <w:rsid w:val="004E76F4"/>
    <w:rsid w:val="004E799D"/>
    <w:rsid w:val="004E7A83"/>
    <w:rsid w:val="004F0210"/>
    <w:rsid w:val="004F0269"/>
    <w:rsid w:val="004F087A"/>
    <w:rsid w:val="004F0B4E"/>
    <w:rsid w:val="004F0B6C"/>
    <w:rsid w:val="004F1037"/>
    <w:rsid w:val="004F149C"/>
    <w:rsid w:val="004F18A9"/>
    <w:rsid w:val="004F1E1D"/>
    <w:rsid w:val="004F2078"/>
    <w:rsid w:val="004F25BF"/>
    <w:rsid w:val="004F3AA4"/>
    <w:rsid w:val="004F49AF"/>
    <w:rsid w:val="004F4DA3"/>
    <w:rsid w:val="004F6827"/>
    <w:rsid w:val="004F7343"/>
    <w:rsid w:val="004F7543"/>
    <w:rsid w:val="005002AA"/>
    <w:rsid w:val="005003C6"/>
    <w:rsid w:val="00501993"/>
    <w:rsid w:val="00502710"/>
    <w:rsid w:val="00502B4C"/>
    <w:rsid w:val="00502FD4"/>
    <w:rsid w:val="005037BE"/>
    <w:rsid w:val="005041C9"/>
    <w:rsid w:val="005058F8"/>
    <w:rsid w:val="00506184"/>
    <w:rsid w:val="005062A6"/>
    <w:rsid w:val="00506557"/>
    <w:rsid w:val="0050677A"/>
    <w:rsid w:val="0050700A"/>
    <w:rsid w:val="00507851"/>
    <w:rsid w:val="00507B2E"/>
    <w:rsid w:val="005108D8"/>
    <w:rsid w:val="00510B9C"/>
    <w:rsid w:val="00511360"/>
    <w:rsid w:val="005116F9"/>
    <w:rsid w:val="00512AD5"/>
    <w:rsid w:val="00512F31"/>
    <w:rsid w:val="005138D1"/>
    <w:rsid w:val="005147AA"/>
    <w:rsid w:val="005153A7"/>
    <w:rsid w:val="00515613"/>
    <w:rsid w:val="00517038"/>
    <w:rsid w:val="005173E6"/>
    <w:rsid w:val="00517536"/>
    <w:rsid w:val="00517D02"/>
    <w:rsid w:val="00520A7E"/>
    <w:rsid w:val="00521699"/>
    <w:rsid w:val="005219CF"/>
    <w:rsid w:val="00521E2B"/>
    <w:rsid w:val="00522099"/>
    <w:rsid w:val="00524471"/>
    <w:rsid w:val="00524849"/>
    <w:rsid w:val="00524939"/>
    <w:rsid w:val="00526671"/>
    <w:rsid w:val="00526A25"/>
    <w:rsid w:val="00526E59"/>
    <w:rsid w:val="0052724D"/>
    <w:rsid w:val="0052760F"/>
    <w:rsid w:val="00527F7B"/>
    <w:rsid w:val="00530441"/>
    <w:rsid w:val="005312CE"/>
    <w:rsid w:val="005313D7"/>
    <w:rsid w:val="00532FDF"/>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37D72"/>
    <w:rsid w:val="00540D6C"/>
    <w:rsid w:val="00541414"/>
    <w:rsid w:val="005418DB"/>
    <w:rsid w:val="00541A2A"/>
    <w:rsid w:val="00541DD2"/>
    <w:rsid w:val="00541F81"/>
    <w:rsid w:val="0054219C"/>
    <w:rsid w:val="005427B9"/>
    <w:rsid w:val="005432F3"/>
    <w:rsid w:val="005442D0"/>
    <w:rsid w:val="00545202"/>
    <w:rsid w:val="0054525A"/>
    <w:rsid w:val="005455A1"/>
    <w:rsid w:val="005457F8"/>
    <w:rsid w:val="00545999"/>
    <w:rsid w:val="005464A4"/>
    <w:rsid w:val="00546970"/>
    <w:rsid w:val="005469E4"/>
    <w:rsid w:val="005503A6"/>
    <w:rsid w:val="005503B9"/>
    <w:rsid w:val="00551603"/>
    <w:rsid w:val="005523B8"/>
    <w:rsid w:val="00552C75"/>
    <w:rsid w:val="00554219"/>
    <w:rsid w:val="00554448"/>
    <w:rsid w:val="005544F7"/>
    <w:rsid w:val="00554E19"/>
    <w:rsid w:val="005553AD"/>
    <w:rsid w:val="0055657D"/>
    <w:rsid w:val="00556E8A"/>
    <w:rsid w:val="0056121F"/>
    <w:rsid w:val="00561B23"/>
    <w:rsid w:val="00561F8B"/>
    <w:rsid w:val="00562155"/>
    <w:rsid w:val="00564356"/>
    <w:rsid w:val="005644C1"/>
    <w:rsid w:val="00564DE5"/>
    <w:rsid w:val="00564EC5"/>
    <w:rsid w:val="00566195"/>
    <w:rsid w:val="00567C01"/>
    <w:rsid w:val="005709D0"/>
    <w:rsid w:val="00571CA4"/>
    <w:rsid w:val="00571DBB"/>
    <w:rsid w:val="0057201A"/>
    <w:rsid w:val="00572457"/>
    <w:rsid w:val="00572505"/>
    <w:rsid w:val="005730C3"/>
    <w:rsid w:val="00573C68"/>
    <w:rsid w:val="00573E85"/>
    <w:rsid w:val="00574791"/>
    <w:rsid w:val="0057578F"/>
    <w:rsid w:val="00575DA9"/>
    <w:rsid w:val="005762D7"/>
    <w:rsid w:val="00576589"/>
    <w:rsid w:val="00580D48"/>
    <w:rsid w:val="005821D7"/>
    <w:rsid w:val="00582809"/>
    <w:rsid w:val="00582C6D"/>
    <w:rsid w:val="00583A10"/>
    <w:rsid w:val="005842B5"/>
    <w:rsid w:val="00584AA3"/>
    <w:rsid w:val="00586051"/>
    <w:rsid w:val="005862F9"/>
    <w:rsid w:val="00586E16"/>
    <w:rsid w:val="00587874"/>
    <w:rsid w:val="0058798C"/>
    <w:rsid w:val="00587BD2"/>
    <w:rsid w:val="00587CF3"/>
    <w:rsid w:val="005900FA"/>
    <w:rsid w:val="005904F2"/>
    <w:rsid w:val="005919A6"/>
    <w:rsid w:val="005923F7"/>
    <w:rsid w:val="00592BBD"/>
    <w:rsid w:val="005935A4"/>
    <w:rsid w:val="005948C2"/>
    <w:rsid w:val="00594B10"/>
    <w:rsid w:val="00594B5F"/>
    <w:rsid w:val="00595DCA"/>
    <w:rsid w:val="00596010"/>
    <w:rsid w:val="0059705B"/>
    <w:rsid w:val="0059779B"/>
    <w:rsid w:val="005A02C4"/>
    <w:rsid w:val="005A0FF9"/>
    <w:rsid w:val="005A209A"/>
    <w:rsid w:val="005A2378"/>
    <w:rsid w:val="005A2C84"/>
    <w:rsid w:val="005A32F7"/>
    <w:rsid w:val="005A40D9"/>
    <w:rsid w:val="005A4460"/>
    <w:rsid w:val="005A4C5A"/>
    <w:rsid w:val="005A53A6"/>
    <w:rsid w:val="005A5E82"/>
    <w:rsid w:val="005A5EDA"/>
    <w:rsid w:val="005A662D"/>
    <w:rsid w:val="005A6AAA"/>
    <w:rsid w:val="005A6CFA"/>
    <w:rsid w:val="005A7BF9"/>
    <w:rsid w:val="005B0F60"/>
    <w:rsid w:val="005B1409"/>
    <w:rsid w:val="005B1F66"/>
    <w:rsid w:val="005B287A"/>
    <w:rsid w:val="005B35D7"/>
    <w:rsid w:val="005B392A"/>
    <w:rsid w:val="005B3AA3"/>
    <w:rsid w:val="005B3E67"/>
    <w:rsid w:val="005B51D0"/>
    <w:rsid w:val="005B5E3E"/>
    <w:rsid w:val="005B60D7"/>
    <w:rsid w:val="005B666D"/>
    <w:rsid w:val="005B6B1E"/>
    <w:rsid w:val="005B6F83"/>
    <w:rsid w:val="005B7823"/>
    <w:rsid w:val="005B7AF0"/>
    <w:rsid w:val="005B7E8D"/>
    <w:rsid w:val="005C1FB0"/>
    <w:rsid w:val="005C3BA2"/>
    <w:rsid w:val="005C3D76"/>
    <w:rsid w:val="005C4446"/>
    <w:rsid w:val="005C4757"/>
    <w:rsid w:val="005C6E2F"/>
    <w:rsid w:val="005C74FB"/>
    <w:rsid w:val="005C7515"/>
    <w:rsid w:val="005C79A8"/>
    <w:rsid w:val="005D1602"/>
    <w:rsid w:val="005D1C40"/>
    <w:rsid w:val="005D239E"/>
    <w:rsid w:val="005D429C"/>
    <w:rsid w:val="005D4347"/>
    <w:rsid w:val="005D4DB6"/>
    <w:rsid w:val="005D675B"/>
    <w:rsid w:val="005D72FE"/>
    <w:rsid w:val="005D769D"/>
    <w:rsid w:val="005E11EA"/>
    <w:rsid w:val="005E1ED5"/>
    <w:rsid w:val="005E240D"/>
    <w:rsid w:val="005E257A"/>
    <w:rsid w:val="005E385F"/>
    <w:rsid w:val="005E3C48"/>
    <w:rsid w:val="005E5467"/>
    <w:rsid w:val="005E55B2"/>
    <w:rsid w:val="005E57CB"/>
    <w:rsid w:val="005E5B81"/>
    <w:rsid w:val="005E62BA"/>
    <w:rsid w:val="005E653B"/>
    <w:rsid w:val="005E682E"/>
    <w:rsid w:val="005E7051"/>
    <w:rsid w:val="005E7468"/>
    <w:rsid w:val="005E78AD"/>
    <w:rsid w:val="005F11FE"/>
    <w:rsid w:val="005F2B29"/>
    <w:rsid w:val="005F2CB1"/>
    <w:rsid w:val="005F2DDC"/>
    <w:rsid w:val="005F2F4A"/>
    <w:rsid w:val="005F3025"/>
    <w:rsid w:val="005F3C77"/>
    <w:rsid w:val="005F518E"/>
    <w:rsid w:val="005F618C"/>
    <w:rsid w:val="005F632C"/>
    <w:rsid w:val="005F6C3C"/>
    <w:rsid w:val="005F70BD"/>
    <w:rsid w:val="005F717F"/>
    <w:rsid w:val="005F7FDA"/>
    <w:rsid w:val="0060128D"/>
    <w:rsid w:val="00601520"/>
    <w:rsid w:val="006022AE"/>
    <w:rsid w:val="0060283C"/>
    <w:rsid w:val="0060313F"/>
    <w:rsid w:val="00603C25"/>
    <w:rsid w:val="00604F14"/>
    <w:rsid w:val="0060502B"/>
    <w:rsid w:val="00606422"/>
    <w:rsid w:val="006067BD"/>
    <w:rsid w:val="00606E78"/>
    <w:rsid w:val="00607E14"/>
    <w:rsid w:val="00610CE3"/>
    <w:rsid w:val="006113DC"/>
    <w:rsid w:val="00611B83"/>
    <w:rsid w:val="00613257"/>
    <w:rsid w:val="0061404D"/>
    <w:rsid w:val="0061438F"/>
    <w:rsid w:val="006148BB"/>
    <w:rsid w:val="00614E32"/>
    <w:rsid w:val="00615001"/>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C77"/>
    <w:rsid w:val="00623D1B"/>
    <w:rsid w:val="006242F0"/>
    <w:rsid w:val="00624A18"/>
    <w:rsid w:val="00624A69"/>
    <w:rsid w:val="006264EF"/>
    <w:rsid w:val="00630001"/>
    <w:rsid w:val="00630CDF"/>
    <w:rsid w:val="006311B3"/>
    <w:rsid w:val="00631372"/>
    <w:rsid w:val="00631390"/>
    <w:rsid w:val="0063141A"/>
    <w:rsid w:val="006318CD"/>
    <w:rsid w:val="00631918"/>
    <w:rsid w:val="00631DB1"/>
    <w:rsid w:val="0063284C"/>
    <w:rsid w:val="00632DD6"/>
    <w:rsid w:val="00632E5A"/>
    <w:rsid w:val="006346CA"/>
    <w:rsid w:val="00634D63"/>
    <w:rsid w:val="00634D7E"/>
    <w:rsid w:val="00635F58"/>
    <w:rsid w:val="00636183"/>
    <w:rsid w:val="00636398"/>
    <w:rsid w:val="006368D3"/>
    <w:rsid w:val="00636BE0"/>
    <w:rsid w:val="006377EC"/>
    <w:rsid w:val="00637C8D"/>
    <w:rsid w:val="006414C8"/>
    <w:rsid w:val="0064151F"/>
    <w:rsid w:val="00641533"/>
    <w:rsid w:val="006416AB"/>
    <w:rsid w:val="006417CB"/>
    <w:rsid w:val="0064208D"/>
    <w:rsid w:val="00642AE8"/>
    <w:rsid w:val="00642C5A"/>
    <w:rsid w:val="00643475"/>
    <w:rsid w:val="006435B6"/>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5F99"/>
    <w:rsid w:val="00656779"/>
    <w:rsid w:val="00656A92"/>
    <w:rsid w:val="00656DDE"/>
    <w:rsid w:val="0065775C"/>
    <w:rsid w:val="00657AD3"/>
    <w:rsid w:val="0066011D"/>
    <w:rsid w:val="006607C0"/>
    <w:rsid w:val="00660924"/>
    <w:rsid w:val="00660FE7"/>
    <w:rsid w:val="006613A6"/>
    <w:rsid w:val="006622FB"/>
    <w:rsid w:val="006627A2"/>
    <w:rsid w:val="006627D5"/>
    <w:rsid w:val="006634E6"/>
    <w:rsid w:val="00664BDA"/>
    <w:rsid w:val="0066544C"/>
    <w:rsid w:val="006655EE"/>
    <w:rsid w:val="006656B8"/>
    <w:rsid w:val="00665C42"/>
    <w:rsid w:val="00665DA6"/>
    <w:rsid w:val="00665DF4"/>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24E"/>
    <w:rsid w:val="006809F1"/>
    <w:rsid w:val="00681003"/>
    <w:rsid w:val="006817C9"/>
    <w:rsid w:val="0068320A"/>
    <w:rsid w:val="00683393"/>
    <w:rsid w:val="0068368C"/>
    <w:rsid w:val="00683A64"/>
    <w:rsid w:val="00683ECE"/>
    <w:rsid w:val="00684B4D"/>
    <w:rsid w:val="00684D72"/>
    <w:rsid w:val="00685F0C"/>
    <w:rsid w:val="006866A3"/>
    <w:rsid w:val="006868B0"/>
    <w:rsid w:val="006874FA"/>
    <w:rsid w:val="00687835"/>
    <w:rsid w:val="00691126"/>
    <w:rsid w:val="006911CB"/>
    <w:rsid w:val="00691726"/>
    <w:rsid w:val="006920F8"/>
    <w:rsid w:val="00692C6C"/>
    <w:rsid w:val="00692CCA"/>
    <w:rsid w:val="00693540"/>
    <w:rsid w:val="00693DF9"/>
    <w:rsid w:val="00694F16"/>
    <w:rsid w:val="00695622"/>
    <w:rsid w:val="00695FC2"/>
    <w:rsid w:val="00696229"/>
    <w:rsid w:val="00696470"/>
    <w:rsid w:val="00696949"/>
    <w:rsid w:val="00697052"/>
    <w:rsid w:val="00697E21"/>
    <w:rsid w:val="006A1589"/>
    <w:rsid w:val="006A2A05"/>
    <w:rsid w:val="006A30BE"/>
    <w:rsid w:val="006A4528"/>
    <w:rsid w:val="006A46FB"/>
    <w:rsid w:val="006A48C8"/>
    <w:rsid w:val="006A5537"/>
    <w:rsid w:val="006A5E28"/>
    <w:rsid w:val="006A5E63"/>
    <w:rsid w:val="006A697B"/>
    <w:rsid w:val="006A6BD7"/>
    <w:rsid w:val="006A6C91"/>
    <w:rsid w:val="006A7AFF"/>
    <w:rsid w:val="006A7BB0"/>
    <w:rsid w:val="006A7E68"/>
    <w:rsid w:val="006B1816"/>
    <w:rsid w:val="006B2099"/>
    <w:rsid w:val="006B2ECA"/>
    <w:rsid w:val="006B3C8D"/>
    <w:rsid w:val="006B3D11"/>
    <w:rsid w:val="006B50CF"/>
    <w:rsid w:val="006B5E50"/>
    <w:rsid w:val="006B6153"/>
    <w:rsid w:val="006B7832"/>
    <w:rsid w:val="006B7B61"/>
    <w:rsid w:val="006C03B8"/>
    <w:rsid w:val="006C085E"/>
    <w:rsid w:val="006C0AC7"/>
    <w:rsid w:val="006C14B4"/>
    <w:rsid w:val="006C1F9E"/>
    <w:rsid w:val="006C26F8"/>
    <w:rsid w:val="006C3089"/>
    <w:rsid w:val="006C30FD"/>
    <w:rsid w:val="006C3311"/>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2FAE"/>
    <w:rsid w:val="006D3764"/>
    <w:rsid w:val="006D3FB7"/>
    <w:rsid w:val="006D45A4"/>
    <w:rsid w:val="006D514D"/>
    <w:rsid w:val="006D539E"/>
    <w:rsid w:val="006D5A23"/>
    <w:rsid w:val="006D6F08"/>
    <w:rsid w:val="006D7429"/>
    <w:rsid w:val="006D7731"/>
    <w:rsid w:val="006D7ECF"/>
    <w:rsid w:val="006E051E"/>
    <w:rsid w:val="006E062C"/>
    <w:rsid w:val="006E1C82"/>
    <w:rsid w:val="006E23D0"/>
    <w:rsid w:val="006E259E"/>
    <w:rsid w:val="006E28B7"/>
    <w:rsid w:val="006E2A9B"/>
    <w:rsid w:val="006E3247"/>
    <w:rsid w:val="006E3310"/>
    <w:rsid w:val="006E4E39"/>
    <w:rsid w:val="006E518F"/>
    <w:rsid w:val="006E565E"/>
    <w:rsid w:val="006E673D"/>
    <w:rsid w:val="006E686A"/>
    <w:rsid w:val="006E68AF"/>
    <w:rsid w:val="006E6D32"/>
    <w:rsid w:val="006E6E05"/>
    <w:rsid w:val="006E6F5C"/>
    <w:rsid w:val="006E7D3B"/>
    <w:rsid w:val="006F00D0"/>
    <w:rsid w:val="006F15C5"/>
    <w:rsid w:val="006F1B70"/>
    <w:rsid w:val="006F1E5B"/>
    <w:rsid w:val="006F2704"/>
    <w:rsid w:val="006F341D"/>
    <w:rsid w:val="006F3867"/>
    <w:rsid w:val="006F3A78"/>
    <w:rsid w:val="006F3CDE"/>
    <w:rsid w:val="006F563A"/>
    <w:rsid w:val="006F569B"/>
    <w:rsid w:val="006F58D4"/>
    <w:rsid w:val="006F6582"/>
    <w:rsid w:val="006F67B4"/>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13F"/>
    <w:rsid w:val="00710898"/>
    <w:rsid w:val="00710C7D"/>
    <w:rsid w:val="007116A4"/>
    <w:rsid w:val="00711A21"/>
    <w:rsid w:val="00711AB8"/>
    <w:rsid w:val="00712287"/>
    <w:rsid w:val="00712321"/>
    <w:rsid w:val="00712772"/>
    <w:rsid w:val="00713AF6"/>
    <w:rsid w:val="00713C95"/>
    <w:rsid w:val="00713F3E"/>
    <w:rsid w:val="0071457A"/>
    <w:rsid w:val="007148D3"/>
    <w:rsid w:val="00715B9A"/>
    <w:rsid w:val="00715C4F"/>
    <w:rsid w:val="00715CA9"/>
    <w:rsid w:val="00716693"/>
    <w:rsid w:val="00716D80"/>
    <w:rsid w:val="00720479"/>
    <w:rsid w:val="00722266"/>
    <w:rsid w:val="0072349B"/>
    <w:rsid w:val="0072405E"/>
    <w:rsid w:val="00724480"/>
    <w:rsid w:val="00724D91"/>
    <w:rsid w:val="00725014"/>
    <w:rsid w:val="007251E7"/>
    <w:rsid w:val="007252F4"/>
    <w:rsid w:val="00725462"/>
    <w:rsid w:val="007256BD"/>
    <w:rsid w:val="007257D0"/>
    <w:rsid w:val="0072586F"/>
    <w:rsid w:val="00725D8D"/>
    <w:rsid w:val="00726EA6"/>
    <w:rsid w:val="00727208"/>
    <w:rsid w:val="00727680"/>
    <w:rsid w:val="00730552"/>
    <w:rsid w:val="00732F42"/>
    <w:rsid w:val="007331E2"/>
    <w:rsid w:val="007338B3"/>
    <w:rsid w:val="0073453E"/>
    <w:rsid w:val="007348B1"/>
    <w:rsid w:val="00734E29"/>
    <w:rsid w:val="007352A0"/>
    <w:rsid w:val="00735A32"/>
    <w:rsid w:val="007362A6"/>
    <w:rsid w:val="00736D7D"/>
    <w:rsid w:val="007370D2"/>
    <w:rsid w:val="00737260"/>
    <w:rsid w:val="00740648"/>
    <w:rsid w:val="00740E58"/>
    <w:rsid w:val="00740E6D"/>
    <w:rsid w:val="007421E2"/>
    <w:rsid w:val="007425D4"/>
    <w:rsid w:val="00742C3F"/>
    <w:rsid w:val="00743041"/>
    <w:rsid w:val="00743F9B"/>
    <w:rsid w:val="007445A0"/>
    <w:rsid w:val="0074524B"/>
    <w:rsid w:val="0074536E"/>
    <w:rsid w:val="00745737"/>
    <w:rsid w:val="00746BE5"/>
    <w:rsid w:val="00746C9D"/>
    <w:rsid w:val="00747D8B"/>
    <w:rsid w:val="00750640"/>
    <w:rsid w:val="007506B5"/>
    <w:rsid w:val="00751228"/>
    <w:rsid w:val="007513CF"/>
    <w:rsid w:val="00752407"/>
    <w:rsid w:val="00753A7F"/>
    <w:rsid w:val="007541F0"/>
    <w:rsid w:val="00754867"/>
    <w:rsid w:val="00754BC6"/>
    <w:rsid w:val="00754D76"/>
    <w:rsid w:val="007554A7"/>
    <w:rsid w:val="00755E39"/>
    <w:rsid w:val="00756408"/>
    <w:rsid w:val="007571E1"/>
    <w:rsid w:val="00757A16"/>
    <w:rsid w:val="00757C92"/>
    <w:rsid w:val="007604B2"/>
    <w:rsid w:val="007613EB"/>
    <w:rsid w:val="00761A06"/>
    <w:rsid w:val="00761C62"/>
    <w:rsid w:val="00762686"/>
    <w:rsid w:val="007642BD"/>
    <w:rsid w:val="007647DD"/>
    <w:rsid w:val="00764E62"/>
    <w:rsid w:val="00765281"/>
    <w:rsid w:val="0076608D"/>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4CD"/>
    <w:rsid w:val="00786731"/>
    <w:rsid w:val="007917CD"/>
    <w:rsid w:val="007925EA"/>
    <w:rsid w:val="007934FB"/>
    <w:rsid w:val="007936BF"/>
    <w:rsid w:val="00793943"/>
    <w:rsid w:val="00793CD8"/>
    <w:rsid w:val="007944BB"/>
    <w:rsid w:val="00795091"/>
    <w:rsid w:val="00795434"/>
    <w:rsid w:val="00795544"/>
    <w:rsid w:val="00795C92"/>
    <w:rsid w:val="00795EA2"/>
    <w:rsid w:val="0079613D"/>
    <w:rsid w:val="00796231"/>
    <w:rsid w:val="00796553"/>
    <w:rsid w:val="007A0426"/>
    <w:rsid w:val="007A078B"/>
    <w:rsid w:val="007A0981"/>
    <w:rsid w:val="007A0AA8"/>
    <w:rsid w:val="007A0F94"/>
    <w:rsid w:val="007A1CB3"/>
    <w:rsid w:val="007A1CFB"/>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D18"/>
    <w:rsid w:val="007C48D7"/>
    <w:rsid w:val="007C5399"/>
    <w:rsid w:val="007C5796"/>
    <w:rsid w:val="007C60BF"/>
    <w:rsid w:val="007C631D"/>
    <w:rsid w:val="007C6A07"/>
    <w:rsid w:val="007C6A60"/>
    <w:rsid w:val="007C75A1"/>
    <w:rsid w:val="007C77A5"/>
    <w:rsid w:val="007C78A6"/>
    <w:rsid w:val="007C7981"/>
    <w:rsid w:val="007D0100"/>
    <w:rsid w:val="007D0117"/>
    <w:rsid w:val="007D04D1"/>
    <w:rsid w:val="007D04E5"/>
    <w:rsid w:val="007D05DB"/>
    <w:rsid w:val="007D2570"/>
    <w:rsid w:val="007D302A"/>
    <w:rsid w:val="007D3277"/>
    <w:rsid w:val="007D3634"/>
    <w:rsid w:val="007D37F4"/>
    <w:rsid w:val="007D4992"/>
    <w:rsid w:val="007D5901"/>
    <w:rsid w:val="007D5E05"/>
    <w:rsid w:val="007D5E37"/>
    <w:rsid w:val="007D65B8"/>
    <w:rsid w:val="007D7526"/>
    <w:rsid w:val="007D7570"/>
    <w:rsid w:val="007D7866"/>
    <w:rsid w:val="007D7E8B"/>
    <w:rsid w:val="007E1502"/>
    <w:rsid w:val="007E2464"/>
    <w:rsid w:val="007E261D"/>
    <w:rsid w:val="007E2AE7"/>
    <w:rsid w:val="007E2C61"/>
    <w:rsid w:val="007E30F7"/>
    <w:rsid w:val="007E3529"/>
    <w:rsid w:val="007E3DEE"/>
    <w:rsid w:val="007E4610"/>
    <w:rsid w:val="007E4715"/>
    <w:rsid w:val="007E505B"/>
    <w:rsid w:val="007E5163"/>
    <w:rsid w:val="007E5263"/>
    <w:rsid w:val="007E5943"/>
    <w:rsid w:val="007E5B22"/>
    <w:rsid w:val="007E65DD"/>
    <w:rsid w:val="007E6FD9"/>
    <w:rsid w:val="007E7091"/>
    <w:rsid w:val="007F0A8C"/>
    <w:rsid w:val="007F11E4"/>
    <w:rsid w:val="007F14A3"/>
    <w:rsid w:val="007F1DD3"/>
    <w:rsid w:val="007F249D"/>
    <w:rsid w:val="007F290F"/>
    <w:rsid w:val="007F3EDF"/>
    <w:rsid w:val="007F46E5"/>
    <w:rsid w:val="007F471B"/>
    <w:rsid w:val="007F4C93"/>
    <w:rsid w:val="007F4C9B"/>
    <w:rsid w:val="007F5E06"/>
    <w:rsid w:val="007F60C4"/>
    <w:rsid w:val="007F63EA"/>
    <w:rsid w:val="007F6825"/>
    <w:rsid w:val="007F7CCD"/>
    <w:rsid w:val="00800EEB"/>
    <w:rsid w:val="008033DF"/>
    <w:rsid w:val="00803D93"/>
    <w:rsid w:val="00803FAE"/>
    <w:rsid w:val="0080605F"/>
    <w:rsid w:val="008075C7"/>
    <w:rsid w:val="00807786"/>
    <w:rsid w:val="00807921"/>
    <w:rsid w:val="008101AF"/>
    <w:rsid w:val="008102C0"/>
    <w:rsid w:val="00810620"/>
    <w:rsid w:val="00811A6C"/>
    <w:rsid w:val="00811FCB"/>
    <w:rsid w:val="00812725"/>
    <w:rsid w:val="00812860"/>
    <w:rsid w:val="00813075"/>
    <w:rsid w:val="008138B1"/>
    <w:rsid w:val="00813A38"/>
    <w:rsid w:val="008147D9"/>
    <w:rsid w:val="00814A9E"/>
    <w:rsid w:val="008158D6"/>
    <w:rsid w:val="00815C4D"/>
    <w:rsid w:val="00815DFE"/>
    <w:rsid w:val="00816196"/>
    <w:rsid w:val="00816422"/>
    <w:rsid w:val="008167C3"/>
    <w:rsid w:val="00816B65"/>
    <w:rsid w:val="00816DB6"/>
    <w:rsid w:val="00817196"/>
    <w:rsid w:val="008206E4"/>
    <w:rsid w:val="00820944"/>
    <w:rsid w:val="00822010"/>
    <w:rsid w:val="00822350"/>
    <w:rsid w:val="0082268C"/>
    <w:rsid w:val="008235DB"/>
    <w:rsid w:val="008243B8"/>
    <w:rsid w:val="00824AB4"/>
    <w:rsid w:val="008252F0"/>
    <w:rsid w:val="00825790"/>
    <w:rsid w:val="008257EA"/>
    <w:rsid w:val="008259D4"/>
    <w:rsid w:val="00825C42"/>
    <w:rsid w:val="00825D25"/>
    <w:rsid w:val="008277D3"/>
    <w:rsid w:val="00827D6F"/>
    <w:rsid w:val="00830C5C"/>
    <w:rsid w:val="008310AF"/>
    <w:rsid w:val="00831457"/>
    <w:rsid w:val="008316EB"/>
    <w:rsid w:val="00831E3C"/>
    <w:rsid w:val="00831FD9"/>
    <w:rsid w:val="008338AD"/>
    <w:rsid w:val="00833B3E"/>
    <w:rsid w:val="008340BE"/>
    <w:rsid w:val="008343A4"/>
    <w:rsid w:val="008346DF"/>
    <w:rsid w:val="00834C47"/>
    <w:rsid w:val="00835023"/>
    <w:rsid w:val="00835171"/>
    <w:rsid w:val="00835AA4"/>
    <w:rsid w:val="0083625F"/>
    <w:rsid w:val="008370FA"/>
    <w:rsid w:val="008376AC"/>
    <w:rsid w:val="008376EA"/>
    <w:rsid w:val="00840038"/>
    <w:rsid w:val="00841D01"/>
    <w:rsid w:val="008430DE"/>
    <w:rsid w:val="008444E8"/>
    <w:rsid w:val="00844E80"/>
    <w:rsid w:val="0084547D"/>
    <w:rsid w:val="008460E8"/>
    <w:rsid w:val="008462EF"/>
    <w:rsid w:val="00846764"/>
    <w:rsid w:val="00846FE7"/>
    <w:rsid w:val="008473E7"/>
    <w:rsid w:val="00847F79"/>
    <w:rsid w:val="008503A5"/>
    <w:rsid w:val="00850F72"/>
    <w:rsid w:val="008527ED"/>
    <w:rsid w:val="00852E1A"/>
    <w:rsid w:val="00852E8F"/>
    <w:rsid w:val="0085564D"/>
    <w:rsid w:val="00856078"/>
    <w:rsid w:val="00856132"/>
    <w:rsid w:val="00856911"/>
    <w:rsid w:val="00856C76"/>
    <w:rsid w:val="00857724"/>
    <w:rsid w:val="008610A7"/>
    <w:rsid w:val="00863250"/>
    <w:rsid w:val="00863731"/>
    <w:rsid w:val="00864067"/>
    <w:rsid w:val="00866253"/>
    <w:rsid w:val="00866275"/>
    <w:rsid w:val="00866B45"/>
    <w:rsid w:val="0086734F"/>
    <w:rsid w:val="008677FD"/>
    <w:rsid w:val="008706D4"/>
    <w:rsid w:val="00870D60"/>
    <w:rsid w:val="00870F8A"/>
    <w:rsid w:val="008719A4"/>
    <w:rsid w:val="00871D23"/>
    <w:rsid w:val="008730A9"/>
    <w:rsid w:val="0087312F"/>
    <w:rsid w:val="00873E8D"/>
    <w:rsid w:val="00874312"/>
    <w:rsid w:val="0087437C"/>
    <w:rsid w:val="00874B15"/>
    <w:rsid w:val="008751A7"/>
    <w:rsid w:val="00875CD7"/>
    <w:rsid w:val="008767C8"/>
    <w:rsid w:val="00876B4D"/>
    <w:rsid w:val="00877358"/>
    <w:rsid w:val="008779AD"/>
    <w:rsid w:val="00877E38"/>
    <w:rsid w:val="00877F18"/>
    <w:rsid w:val="00880175"/>
    <w:rsid w:val="008809FC"/>
    <w:rsid w:val="008817CC"/>
    <w:rsid w:val="008819C7"/>
    <w:rsid w:val="00882009"/>
    <w:rsid w:val="0088432B"/>
    <w:rsid w:val="00884D27"/>
    <w:rsid w:val="008860F9"/>
    <w:rsid w:val="008865D5"/>
    <w:rsid w:val="00886F51"/>
    <w:rsid w:val="00887483"/>
    <w:rsid w:val="0088753D"/>
    <w:rsid w:val="008878BF"/>
    <w:rsid w:val="00891023"/>
    <w:rsid w:val="0089202F"/>
    <w:rsid w:val="008933ED"/>
    <w:rsid w:val="00894114"/>
    <w:rsid w:val="008941E3"/>
    <w:rsid w:val="008942CF"/>
    <w:rsid w:val="00894469"/>
    <w:rsid w:val="00894898"/>
    <w:rsid w:val="00894A88"/>
    <w:rsid w:val="00895386"/>
    <w:rsid w:val="00896896"/>
    <w:rsid w:val="008973CC"/>
    <w:rsid w:val="0089763D"/>
    <w:rsid w:val="00897AF9"/>
    <w:rsid w:val="008A00C2"/>
    <w:rsid w:val="008A17F5"/>
    <w:rsid w:val="008A1B96"/>
    <w:rsid w:val="008A21FF"/>
    <w:rsid w:val="008A288F"/>
    <w:rsid w:val="008A2CE2"/>
    <w:rsid w:val="008A2F24"/>
    <w:rsid w:val="008A30AC"/>
    <w:rsid w:val="008A3A45"/>
    <w:rsid w:val="008A3AAD"/>
    <w:rsid w:val="008A4324"/>
    <w:rsid w:val="008A44B8"/>
    <w:rsid w:val="008A51A8"/>
    <w:rsid w:val="008A5412"/>
    <w:rsid w:val="008A54C7"/>
    <w:rsid w:val="008A59F8"/>
    <w:rsid w:val="008A5ACE"/>
    <w:rsid w:val="008A5D1D"/>
    <w:rsid w:val="008A5FBC"/>
    <w:rsid w:val="008A66D8"/>
    <w:rsid w:val="008A75F4"/>
    <w:rsid w:val="008A767C"/>
    <w:rsid w:val="008A77D8"/>
    <w:rsid w:val="008A7AC0"/>
    <w:rsid w:val="008A7EE3"/>
    <w:rsid w:val="008B0483"/>
    <w:rsid w:val="008B049D"/>
    <w:rsid w:val="008B0CEA"/>
    <w:rsid w:val="008B0E05"/>
    <w:rsid w:val="008B0FFA"/>
    <w:rsid w:val="008B120C"/>
    <w:rsid w:val="008B1481"/>
    <w:rsid w:val="008B1F77"/>
    <w:rsid w:val="008B2320"/>
    <w:rsid w:val="008B2E24"/>
    <w:rsid w:val="008B3B48"/>
    <w:rsid w:val="008B51A0"/>
    <w:rsid w:val="008B5379"/>
    <w:rsid w:val="008B592A"/>
    <w:rsid w:val="008B61A7"/>
    <w:rsid w:val="008B7B5C"/>
    <w:rsid w:val="008C02EB"/>
    <w:rsid w:val="008C0338"/>
    <w:rsid w:val="008C089B"/>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3E"/>
    <w:rsid w:val="008C6FDE"/>
    <w:rsid w:val="008C7573"/>
    <w:rsid w:val="008D00A5"/>
    <w:rsid w:val="008D07C4"/>
    <w:rsid w:val="008D1146"/>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73EF"/>
    <w:rsid w:val="008D7438"/>
    <w:rsid w:val="008E065E"/>
    <w:rsid w:val="008E0927"/>
    <w:rsid w:val="008E09DD"/>
    <w:rsid w:val="008E1909"/>
    <w:rsid w:val="008E2291"/>
    <w:rsid w:val="008E2C59"/>
    <w:rsid w:val="008E3727"/>
    <w:rsid w:val="008E374C"/>
    <w:rsid w:val="008E3C92"/>
    <w:rsid w:val="008E3EC1"/>
    <w:rsid w:val="008E43CD"/>
    <w:rsid w:val="008E55A9"/>
    <w:rsid w:val="008E57D2"/>
    <w:rsid w:val="008E5EE9"/>
    <w:rsid w:val="008E6B47"/>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413"/>
    <w:rsid w:val="008F7D38"/>
    <w:rsid w:val="00900A54"/>
    <w:rsid w:val="00901FF9"/>
    <w:rsid w:val="00902350"/>
    <w:rsid w:val="009024B2"/>
    <w:rsid w:val="0090336B"/>
    <w:rsid w:val="00903D1F"/>
    <w:rsid w:val="009040D5"/>
    <w:rsid w:val="0090421B"/>
    <w:rsid w:val="00904731"/>
    <w:rsid w:val="009053AA"/>
    <w:rsid w:val="009058AD"/>
    <w:rsid w:val="00905FD2"/>
    <w:rsid w:val="00906686"/>
    <w:rsid w:val="00906939"/>
    <w:rsid w:val="00907338"/>
    <w:rsid w:val="00907807"/>
    <w:rsid w:val="009104B0"/>
    <w:rsid w:val="0091057F"/>
    <w:rsid w:val="009105EA"/>
    <w:rsid w:val="009109FE"/>
    <w:rsid w:val="00910B7D"/>
    <w:rsid w:val="00910F5B"/>
    <w:rsid w:val="00911212"/>
    <w:rsid w:val="009116BB"/>
    <w:rsid w:val="00911DFB"/>
    <w:rsid w:val="009139D9"/>
    <w:rsid w:val="00913E64"/>
    <w:rsid w:val="009140FC"/>
    <w:rsid w:val="00914210"/>
    <w:rsid w:val="00914AD8"/>
    <w:rsid w:val="00915A92"/>
    <w:rsid w:val="00916079"/>
    <w:rsid w:val="00916840"/>
    <w:rsid w:val="009168D8"/>
    <w:rsid w:val="00917CE9"/>
    <w:rsid w:val="00920BF2"/>
    <w:rsid w:val="009212DC"/>
    <w:rsid w:val="0092131F"/>
    <w:rsid w:val="00921393"/>
    <w:rsid w:val="00921967"/>
    <w:rsid w:val="00921BC5"/>
    <w:rsid w:val="00921C67"/>
    <w:rsid w:val="00922010"/>
    <w:rsid w:val="00923165"/>
    <w:rsid w:val="009248DC"/>
    <w:rsid w:val="00924C52"/>
    <w:rsid w:val="009254F0"/>
    <w:rsid w:val="00926123"/>
    <w:rsid w:val="00927413"/>
    <w:rsid w:val="009278A6"/>
    <w:rsid w:val="00927DAF"/>
    <w:rsid w:val="00930C48"/>
    <w:rsid w:val="009310F3"/>
    <w:rsid w:val="009312FC"/>
    <w:rsid w:val="00931BD9"/>
    <w:rsid w:val="00931BE3"/>
    <w:rsid w:val="009326BF"/>
    <w:rsid w:val="00932966"/>
    <w:rsid w:val="00933081"/>
    <w:rsid w:val="0093391A"/>
    <w:rsid w:val="00933A73"/>
    <w:rsid w:val="00933C65"/>
    <w:rsid w:val="00933CB8"/>
    <w:rsid w:val="009357A5"/>
    <w:rsid w:val="009365FF"/>
    <w:rsid w:val="00936875"/>
    <w:rsid w:val="009368F3"/>
    <w:rsid w:val="0093706E"/>
    <w:rsid w:val="009376DF"/>
    <w:rsid w:val="009378A1"/>
    <w:rsid w:val="00940A64"/>
    <w:rsid w:val="009412D6"/>
    <w:rsid w:val="00941636"/>
    <w:rsid w:val="0094247E"/>
    <w:rsid w:val="0094276C"/>
    <w:rsid w:val="0094309A"/>
    <w:rsid w:val="00943742"/>
    <w:rsid w:val="00944ABB"/>
    <w:rsid w:val="00944F42"/>
    <w:rsid w:val="00944F97"/>
    <w:rsid w:val="009451EA"/>
    <w:rsid w:val="00945C05"/>
    <w:rsid w:val="00946945"/>
    <w:rsid w:val="00946E39"/>
    <w:rsid w:val="00947713"/>
    <w:rsid w:val="00947C0F"/>
    <w:rsid w:val="00950C8A"/>
    <w:rsid w:val="00950DE7"/>
    <w:rsid w:val="0095134F"/>
    <w:rsid w:val="009518D4"/>
    <w:rsid w:val="00951D17"/>
    <w:rsid w:val="0095239F"/>
    <w:rsid w:val="00953920"/>
    <w:rsid w:val="00953D47"/>
    <w:rsid w:val="0095542B"/>
    <w:rsid w:val="00955B86"/>
    <w:rsid w:val="0095681E"/>
    <w:rsid w:val="00956ED4"/>
    <w:rsid w:val="009572D4"/>
    <w:rsid w:val="009576C7"/>
    <w:rsid w:val="00960219"/>
    <w:rsid w:val="009608A8"/>
    <w:rsid w:val="00961321"/>
    <w:rsid w:val="00961921"/>
    <w:rsid w:val="00961B2D"/>
    <w:rsid w:val="0096263A"/>
    <w:rsid w:val="00962975"/>
    <w:rsid w:val="00962ADC"/>
    <w:rsid w:val="009630AB"/>
    <w:rsid w:val="009633EA"/>
    <w:rsid w:val="00963455"/>
    <w:rsid w:val="0096355A"/>
    <w:rsid w:val="00963B6E"/>
    <w:rsid w:val="00963F30"/>
    <w:rsid w:val="0096430A"/>
    <w:rsid w:val="0096554B"/>
    <w:rsid w:val="0096584A"/>
    <w:rsid w:val="00966101"/>
    <w:rsid w:val="00966E94"/>
    <w:rsid w:val="00971BBE"/>
    <w:rsid w:val="00971F08"/>
    <w:rsid w:val="00972AB0"/>
    <w:rsid w:val="009738DE"/>
    <w:rsid w:val="00973926"/>
    <w:rsid w:val="00974285"/>
    <w:rsid w:val="0097498F"/>
    <w:rsid w:val="00974C3E"/>
    <w:rsid w:val="009754F8"/>
    <w:rsid w:val="009757DD"/>
    <w:rsid w:val="0097603D"/>
    <w:rsid w:val="00976949"/>
    <w:rsid w:val="0097714F"/>
    <w:rsid w:val="00977A97"/>
    <w:rsid w:val="00977CFF"/>
    <w:rsid w:val="00977DFC"/>
    <w:rsid w:val="00980477"/>
    <w:rsid w:val="009815D6"/>
    <w:rsid w:val="00981D22"/>
    <w:rsid w:val="009831A5"/>
    <w:rsid w:val="00984EA3"/>
    <w:rsid w:val="00985253"/>
    <w:rsid w:val="009853B3"/>
    <w:rsid w:val="0098576D"/>
    <w:rsid w:val="00987D4E"/>
    <w:rsid w:val="00990630"/>
    <w:rsid w:val="009909D6"/>
    <w:rsid w:val="00991540"/>
    <w:rsid w:val="00991761"/>
    <w:rsid w:val="0099197F"/>
    <w:rsid w:val="00992021"/>
    <w:rsid w:val="00993A41"/>
    <w:rsid w:val="00993D35"/>
    <w:rsid w:val="00994DCA"/>
    <w:rsid w:val="00994E39"/>
    <w:rsid w:val="00995BB7"/>
    <w:rsid w:val="009960EC"/>
    <w:rsid w:val="00996E54"/>
    <w:rsid w:val="009970DD"/>
    <w:rsid w:val="009977D7"/>
    <w:rsid w:val="009A027F"/>
    <w:rsid w:val="009A0FBA"/>
    <w:rsid w:val="009A1601"/>
    <w:rsid w:val="009A1685"/>
    <w:rsid w:val="009A1E8E"/>
    <w:rsid w:val="009A21E8"/>
    <w:rsid w:val="009A22F4"/>
    <w:rsid w:val="009A2687"/>
    <w:rsid w:val="009A319D"/>
    <w:rsid w:val="009A367F"/>
    <w:rsid w:val="009A3BB6"/>
    <w:rsid w:val="009A462D"/>
    <w:rsid w:val="009A4FF3"/>
    <w:rsid w:val="009A5183"/>
    <w:rsid w:val="009A5645"/>
    <w:rsid w:val="009A5CBA"/>
    <w:rsid w:val="009A6EA7"/>
    <w:rsid w:val="009A7B1F"/>
    <w:rsid w:val="009A7E4D"/>
    <w:rsid w:val="009B07E6"/>
    <w:rsid w:val="009B0F8F"/>
    <w:rsid w:val="009B1A7D"/>
    <w:rsid w:val="009B1F30"/>
    <w:rsid w:val="009B1FE7"/>
    <w:rsid w:val="009B35E0"/>
    <w:rsid w:val="009B3856"/>
    <w:rsid w:val="009B3AC2"/>
    <w:rsid w:val="009B3F4B"/>
    <w:rsid w:val="009B444C"/>
    <w:rsid w:val="009B45C1"/>
    <w:rsid w:val="009B4DF4"/>
    <w:rsid w:val="009B4EA8"/>
    <w:rsid w:val="009B4EB7"/>
    <w:rsid w:val="009B561D"/>
    <w:rsid w:val="009B564E"/>
    <w:rsid w:val="009B5ADC"/>
    <w:rsid w:val="009B62BE"/>
    <w:rsid w:val="009B6A73"/>
    <w:rsid w:val="009B6D08"/>
    <w:rsid w:val="009B7E87"/>
    <w:rsid w:val="009C0057"/>
    <w:rsid w:val="009C0169"/>
    <w:rsid w:val="009C02EC"/>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116F"/>
    <w:rsid w:val="009D3B9B"/>
    <w:rsid w:val="009D404D"/>
    <w:rsid w:val="009D44EA"/>
    <w:rsid w:val="009D4537"/>
    <w:rsid w:val="009D4FF0"/>
    <w:rsid w:val="009D703C"/>
    <w:rsid w:val="009D718F"/>
    <w:rsid w:val="009D7483"/>
    <w:rsid w:val="009D7586"/>
    <w:rsid w:val="009E0077"/>
    <w:rsid w:val="009E068F"/>
    <w:rsid w:val="009E10DF"/>
    <w:rsid w:val="009E14E0"/>
    <w:rsid w:val="009E2304"/>
    <w:rsid w:val="009E2365"/>
    <w:rsid w:val="009E2595"/>
    <w:rsid w:val="009E35DB"/>
    <w:rsid w:val="009E35DE"/>
    <w:rsid w:val="009E37A1"/>
    <w:rsid w:val="009E414C"/>
    <w:rsid w:val="009E47A3"/>
    <w:rsid w:val="009E47AD"/>
    <w:rsid w:val="009E5CC5"/>
    <w:rsid w:val="009E7449"/>
    <w:rsid w:val="009F037E"/>
    <w:rsid w:val="009F08F3"/>
    <w:rsid w:val="009F11EF"/>
    <w:rsid w:val="009F1952"/>
    <w:rsid w:val="009F2010"/>
    <w:rsid w:val="009F2FFE"/>
    <w:rsid w:val="009F3394"/>
    <w:rsid w:val="009F344F"/>
    <w:rsid w:val="009F3ECD"/>
    <w:rsid w:val="009F4143"/>
    <w:rsid w:val="009F45C0"/>
    <w:rsid w:val="009F50C3"/>
    <w:rsid w:val="009F6767"/>
    <w:rsid w:val="009F6C72"/>
    <w:rsid w:val="009F75E5"/>
    <w:rsid w:val="009F7E6F"/>
    <w:rsid w:val="00A01371"/>
    <w:rsid w:val="00A014FC"/>
    <w:rsid w:val="00A01FAE"/>
    <w:rsid w:val="00A0204C"/>
    <w:rsid w:val="00A0289A"/>
    <w:rsid w:val="00A031D8"/>
    <w:rsid w:val="00A04537"/>
    <w:rsid w:val="00A048A8"/>
    <w:rsid w:val="00A04F49"/>
    <w:rsid w:val="00A05BE6"/>
    <w:rsid w:val="00A05C01"/>
    <w:rsid w:val="00A06044"/>
    <w:rsid w:val="00A06EA9"/>
    <w:rsid w:val="00A0702F"/>
    <w:rsid w:val="00A072FC"/>
    <w:rsid w:val="00A073D2"/>
    <w:rsid w:val="00A07510"/>
    <w:rsid w:val="00A1150E"/>
    <w:rsid w:val="00A1186D"/>
    <w:rsid w:val="00A1288E"/>
    <w:rsid w:val="00A13028"/>
    <w:rsid w:val="00A138EF"/>
    <w:rsid w:val="00A13E54"/>
    <w:rsid w:val="00A155AE"/>
    <w:rsid w:val="00A1561A"/>
    <w:rsid w:val="00A1589F"/>
    <w:rsid w:val="00A16B63"/>
    <w:rsid w:val="00A1744E"/>
    <w:rsid w:val="00A17965"/>
    <w:rsid w:val="00A17F63"/>
    <w:rsid w:val="00A202B2"/>
    <w:rsid w:val="00A203C4"/>
    <w:rsid w:val="00A204FE"/>
    <w:rsid w:val="00A208BA"/>
    <w:rsid w:val="00A218B3"/>
    <w:rsid w:val="00A2193B"/>
    <w:rsid w:val="00A22209"/>
    <w:rsid w:val="00A22D6A"/>
    <w:rsid w:val="00A2351A"/>
    <w:rsid w:val="00A23ECB"/>
    <w:rsid w:val="00A25033"/>
    <w:rsid w:val="00A25224"/>
    <w:rsid w:val="00A264A9"/>
    <w:rsid w:val="00A26961"/>
    <w:rsid w:val="00A269C9"/>
    <w:rsid w:val="00A26DCF"/>
    <w:rsid w:val="00A27785"/>
    <w:rsid w:val="00A30187"/>
    <w:rsid w:val="00A32847"/>
    <w:rsid w:val="00A33097"/>
    <w:rsid w:val="00A3448A"/>
    <w:rsid w:val="00A34AED"/>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3C5"/>
    <w:rsid w:val="00A52798"/>
    <w:rsid w:val="00A528AF"/>
    <w:rsid w:val="00A52E1D"/>
    <w:rsid w:val="00A53DEC"/>
    <w:rsid w:val="00A53E8E"/>
    <w:rsid w:val="00A543BC"/>
    <w:rsid w:val="00A5449B"/>
    <w:rsid w:val="00A55922"/>
    <w:rsid w:val="00A57E4D"/>
    <w:rsid w:val="00A60009"/>
    <w:rsid w:val="00A61499"/>
    <w:rsid w:val="00A615E7"/>
    <w:rsid w:val="00A61D48"/>
    <w:rsid w:val="00A61D9E"/>
    <w:rsid w:val="00A62101"/>
    <w:rsid w:val="00A62A77"/>
    <w:rsid w:val="00A63483"/>
    <w:rsid w:val="00A638B5"/>
    <w:rsid w:val="00A6399E"/>
    <w:rsid w:val="00A63C71"/>
    <w:rsid w:val="00A654E1"/>
    <w:rsid w:val="00A657D7"/>
    <w:rsid w:val="00A65C39"/>
    <w:rsid w:val="00A660AC"/>
    <w:rsid w:val="00A66322"/>
    <w:rsid w:val="00A66F12"/>
    <w:rsid w:val="00A67208"/>
    <w:rsid w:val="00A67326"/>
    <w:rsid w:val="00A67E6C"/>
    <w:rsid w:val="00A70971"/>
    <w:rsid w:val="00A70992"/>
    <w:rsid w:val="00A7144B"/>
    <w:rsid w:val="00A71B99"/>
    <w:rsid w:val="00A72124"/>
    <w:rsid w:val="00A72788"/>
    <w:rsid w:val="00A733CD"/>
    <w:rsid w:val="00A73731"/>
    <w:rsid w:val="00A739D0"/>
    <w:rsid w:val="00A73D78"/>
    <w:rsid w:val="00A74E4A"/>
    <w:rsid w:val="00A761D4"/>
    <w:rsid w:val="00A76977"/>
    <w:rsid w:val="00A76CA6"/>
    <w:rsid w:val="00A770B3"/>
    <w:rsid w:val="00A77A8E"/>
    <w:rsid w:val="00A77C64"/>
    <w:rsid w:val="00A77DC4"/>
    <w:rsid w:val="00A77EC4"/>
    <w:rsid w:val="00A815A1"/>
    <w:rsid w:val="00A82C8A"/>
    <w:rsid w:val="00A83708"/>
    <w:rsid w:val="00A83986"/>
    <w:rsid w:val="00A83F48"/>
    <w:rsid w:val="00A8423A"/>
    <w:rsid w:val="00A842A0"/>
    <w:rsid w:val="00A84531"/>
    <w:rsid w:val="00A8454D"/>
    <w:rsid w:val="00A84DC2"/>
    <w:rsid w:val="00A8544D"/>
    <w:rsid w:val="00A85FC6"/>
    <w:rsid w:val="00A86435"/>
    <w:rsid w:val="00A91B0F"/>
    <w:rsid w:val="00A92879"/>
    <w:rsid w:val="00A92D25"/>
    <w:rsid w:val="00A9442A"/>
    <w:rsid w:val="00A9592F"/>
    <w:rsid w:val="00A959BA"/>
    <w:rsid w:val="00A96172"/>
    <w:rsid w:val="00A97339"/>
    <w:rsid w:val="00A97FBF"/>
    <w:rsid w:val="00AA001A"/>
    <w:rsid w:val="00AA016F"/>
    <w:rsid w:val="00AA1360"/>
    <w:rsid w:val="00AA1ED6"/>
    <w:rsid w:val="00AA2E28"/>
    <w:rsid w:val="00AA437D"/>
    <w:rsid w:val="00AA4D39"/>
    <w:rsid w:val="00AA51D6"/>
    <w:rsid w:val="00AA6942"/>
    <w:rsid w:val="00AB00B6"/>
    <w:rsid w:val="00AB0BC8"/>
    <w:rsid w:val="00AB0F5A"/>
    <w:rsid w:val="00AB11CA"/>
    <w:rsid w:val="00AB14D9"/>
    <w:rsid w:val="00AB1DAA"/>
    <w:rsid w:val="00AB2356"/>
    <w:rsid w:val="00AB452B"/>
    <w:rsid w:val="00AB4AB8"/>
    <w:rsid w:val="00AB4C48"/>
    <w:rsid w:val="00AB4D71"/>
    <w:rsid w:val="00AB5BBC"/>
    <w:rsid w:val="00AB5CB6"/>
    <w:rsid w:val="00AB655E"/>
    <w:rsid w:val="00AB7324"/>
    <w:rsid w:val="00AB794F"/>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3F2"/>
    <w:rsid w:val="00AD38E2"/>
    <w:rsid w:val="00AD3C02"/>
    <w:rsid w:val="00AD3F94"/>
    <w:rsid w:val="00AD4215"/>
    <w:rsid w:val="00AD4411"/>
    <w:rsid w:val="00AD46E0"/>
    <w:rsid w:val="00AD4A5A"/>
    <w:rsid w:val="00AD5BD4"/>
    <w:rsid w:val="00AD5BF8"/>
    <w:rsid w:val="00AD5DD7"/>
    <w:rsid w:val="00AD616E"/>
    <w:rsid w:val="00AD7421"/>
    <w:rsid w:val="00AD7F8A"/>
    <w:rsid w:val="00AE0591"/>
    <w:rsid w:val="00AE0EC7"/>
    <w:rsid w:val="00AE1620"/>
    <w:rsid w:val="00AE1BE4"/>
    <w:rsid w:val="00AE22CA"/>
    <w:rsid w:val="00AE2773"/>
    <w:rsid w:val="00AE27AC"/>
    <w:rsid w:val="00AE298B"/>
    <w:rsid w:val="00AE347C"/>
    <w:rsid w:val="00AE40E0"/>
    <w:rsid w:val="00AE4434"/>
    <w:rsid w:val="00AE46B9"/>
    <w:rsid w:val="00AE480D"/>
    <w:rsid w:val="00AE4DBA"/>
    <w:rsid w:val="00AE4F07"/>
    <w:rsid w:val="00AE6E5D"/>
    <w:rsid w:val="00AE7E8B"/>
    <w:rsid w:val="00AF097F"/>
    <w:rsid w:val="00AF09E3"/>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AF7F74"/>
    <w:rsid w:val="00B006FE"/>
    <w:rsid w:val="00B007CB"/>
    <w:rsid w:val="00B01ABA"/>
    <w:rsid w:val="00B02294"/>
    <w:rsid w:val="00B02AA9"/>
    <w:rsid w:val="00B02B43"/>
    <w:rsid w:val="00B02FA3"/>
    <w:rsid w:val="00B02FD0"/>
    <w:rsid w:val="00B0455C"/>
    <w:rsid w:val="00B047D3"/>
    <w:rsid w:val="00B05084"/>
    <w:rsid w:val="00B0571D"/>
    <w:rsid w:val="00B06F73"/>
    <w:rsid w:val="00B06FEF"/>
    <w:rsid w:val="00B0750B"/>
    <w:rsid w:val="00B07A07"/>
    <w:rsid w:val="00B10894"/>
    <w:rsid w:val="00B12529"/>
    <w:rsid w:val="00B12A9B"/>
    <w:rsid w:val="00B12B4F"/>
    <w:rsid w:val="00B1370B"/>
    <w:rsid w:val="00B1407B"/>
    <w:rsid w:val="00B14196"/>
    <w:rsid w:val="00B14B87"/>
    <w:rsid w:val="00B151F2"/>
    <w:rsid w:val="00B157F9"/>
    <w:rsid w:val="00B15A8D"/>
    <w:rsid w:val="00B1637B"/>
    <w:rsid w:val="00B200C0"/>
    <w:rsid w:val="00B20256"/>
    <w:rsid w:val="00B20285"/>
    <w:rsid w:val="00B20D09"/>
    <w:rsid w:val="00B21539"/>
    <w:rsid w:val="00B22177"/>
    <w:rsid w:val="00B2255B"/>
    <w:rsid w:val="00B22850"/>
    <w:rsid w:val="00B22956"/>
    <w:rsid w:val="00B23C02"/>
    <w:rsid w:val="00B24382"/>
    <w:rsid w:val="00B2442F"/>
    <w:rsid w:val="00B2450E"/>
    <w:rsid w:val="00B25C1D"/>
    <w:rsid w:val="00B25E72"/>
    <w:rsid w:val="00B266DF"/>
    <w:rsid w:val="00B269EE"/>
    <w:rsid w:val="00B26E30"/>
    <w:rsid w:val="00B2763F"/>
    <w:rsid w:val="00B27AAC"/>
    <w:rsid w:val="00B30817"/>
    <w:rsid w:val="00B308A7"/>
    <w:rsid w:val="00B30929"/>
    <w:rsid w:val="00B30A17"/>
    <w:rsid w:val="00B30DEE"/>
    <w:rsid w:val="00B31710"/>
    <w:rsid w:val="00B31CA2"/>
    <w:rsid w:val="00B333CC"/>
    <w:rsid w:val="00B34939"/>
    <w:rsid w:val="00B34CA8"/>
    <w:rsid w:val="00B34DF1"/>
    <w:rsid w:val="00B35304"/>
    <w:rsid w:val="00B355FC"/>
    <w:rsid w:val="00B36D73"/>
    <w:rsid w:val="00B36D7A"/>
    <w:rsid w:val="00B372AA"/>
    <w:rsid w:val="00B37744"/>
    <w:rsid w:val="00B400B7"/>
    <w:rsid w:val="00B40445"/>
    <w:rsid w:val="00B409E0"/>
    <w:rsid w:val="00B410F6"/>
    <w:rsid w:val="00B41888"/>
    <w:rsid w:val="00B41E36"/>
    <w:rsid w:val="00B41F41"/>
    <w:rsid w:val="00B427FC"/>
    <w:rsid w:val="00B440BB"/>
    <w:rsid w:val="00B444C3"/>
    <w:rsid w:val="00B4509A"/>
    <w:rsid w:val="00B455F2"/>
    <w:rsid w:val="00B45607"/>
    <w:rsid w:val="00B45A52"/>
    <w:rsid w:val="00B45A91"/>
    <w:rsid w:val="00B45B04"/>
    <w:rsid w:val="00B46175"/>
    <w:rsid w:val="00B50CD4"/>
    <w:rsid w:val="00B5180D"/>
    <w:rsid w:val="00B51AC4"/>
    <w:rsid w:val="00B52562"/>
    <w:rsid w:val="00B52689"/>
    <w:rsid w:val="00B52881"/>
    <w:rsid w:val="00B52882"/>
    <w:rsid w:val="00B52A6F"/>
    <w:rsid w:val="00B53E25"/>
    <w:rsid w:val="00B54546"/>
    <w:rsid w:val="00B548B7"/>
    <w:rsid w:val="00B54BC3"/>
    <w:rsid w:val="00B559D4"/>
    <w:rsid w:val="00B56152"/>
    <w:rsid w:val="00B56226"/>
    <w:rsid w:val="00B5687E"/>
    <w:rsid w:val="00B56C02"/>
    <w:rsid w:val="00B6120C"/>
    <w:rsid w:val="00B617E0"/>
    <w:rsid w:val="00B61AB4"/>
    <w:rsid w:val="00B61EFF"/>
    <w:rsid w:val="00B6238C"/>
    <w:rsid w:val="00B6269D"/>
    <w:rsid w:val="00B63F2F"/>
    <w:rsid w:val="00B642C9"/>
    <w:rsid w:val="00B664C7"/>
    <w:rsid w:val="00B66A73"/>
    <w:rsid w:val="00B67052"/>
    <w:rsid w:val="00B67E64"/>
    <w:rsid w:val="00B714E3"/>
    <w:rsid w:val="00B71E67"/>
    <w:rsid w:val="00B72515"/>
    <w:rsid w:val="00B73031"/>
    <w:rsid w:val="00B739F6"/>
    <w:rsid w:val="00B73C79"/>
    <w:rsid w:val="00B73E2C"/>
    <w:rsid w:val="00B75B11"/>
    <w:rsid w:val="00B7605B"/>
    <w:rsid w:val="00B76681"/>
    <w:rsid w:val="00B801C9"/>
    <w:rsid w:val="00B80385"/>
    <w:rsid w:val="00B80628"/>
    <w:rsid w:val="00B80EC9"/>
    <w:rsid w:val="00B8188C"/>
    <w:rsid w:val="00B81A6C"/>
    <w:rsid w:val="00B8252B"/>
    <w:rsid w:val="00B82727"/>
    <w:rsid w:val="00B838CF"/>
    <w:rsid w:val="00B84DF3"/>
    <w:rsid w:val="00B85796"/>
    <w:rsid w:val="00B857BA"/>
    <w:rsid w:val="00B85A00"/>
    <w:rsid w:val="00B85DE5"/>
    <w:rsid w:val="00B86B13"/>
    <w:rsid w:val="00B86E06"/>
    <w:rsid w:val="00B90C44"/>
    <w:rsid w:val="00B90F18"/>
    <w:rsid w:val="00B90F73"/>
    <w:rsid w:val="00B91F7B"/>
    <w:rsid w:val="00B92282"/>
    <w:rsid w:val="00B93320"/>
    <w:rsid w:val="00B936E8"/>
    <w:rsid w:val="00B93B59"/>
    <w:rsid w:val="00B93D2A"/>
    <w:rsid w:val="00B9406A"/>
    <w:rsid w:val="00B941B3"/>
    <w:rsid w:val="00B94B68"/>
    <w:rsid w:val="00B95007"/>
    <w:rsid w:val="00B95350"/>
    <w:rsid w:val="00B97F3F"/>
    <w:rsid w:val="00BA079B"/>
    <w:rsid w:val="00BA1E47"/>
    <w:rsid w:val="00BA21A9"/>
    <w:rsid w:val="00BA2280"/>
    <w:rsid w:val="00BA23A5"/>
    <w:rsid w:val="00BA24FF"/>
    <w:rsid w:val="00BA26EE"/>
    <w:rsid w:val="00BA2A08"/>
    <w:rsid w:val="00BA3DBC"/>
    <w:rsid w:val="00BA4916"/>
    <w:rsid w:val="00BA56D2"/>
    <w:rsid w:val="00BA5703"/>
    <w:rsid w:val="00BA61F0"/>
    <w:rsid w:val="00BA6C5C"/>
    <w:rsid w:val="00BA76E0"/>
    <w:rsid w:val="00BB0233"/>
    <w:rsid w:val="00BB0642"/>
    <w:rsid w:val="00BB0660"/>
    <w:rsid w:val="00BB0FDD"/>
    <w:rsid w:val="00BB1931"/>
    <w:rsid w:val="00BB254A"/>
    <w:rsid w:val="00BB2A25"/>
    <w:rsid w:val="00BB3D8B"/>
    <w:rsid w:val="00BB474F"/>
    <w:rsid w:val="00BB51E9"/>
    <w:rsid w:val="00BB52B0"/>
    <w:rsid w:val="00BB5E18"/>
    <w:rsid w:val="00BB68AC"/>
    <w:rsid w:val="00BB7ABD"/>
    <w:rsid w:val="00BB7E9C"/>
    <w:rsid w:val="00BC0FDC"/>
    <w:rsid w:val="00BC3053"/>
    <w:rsid w:val="00BC310F"/>
    <w:rsid w:val="00BC3E20"/>
    <w:rsid w:val="00BC4C9D"/>
    <w:rsid w:val="00BC4CFE"/>
    <w:rsid w:val="00BC4D2E"/>
    <w:rsid w:val="00BC4DE3"/>
    <w:rsid w:val="00BC5803"/>
    <w:rsid w:val="00BC58EF"/>
    <w:rsid w:val="00BC5A1F"/>
    <w:rsid w:val="00BC6374"/>
    <w:rsid w:val="00BC6D89"/>
    <w:rsid w:val="00BC7784"/>
    <w:rsid w:val="00BD0F82"/>
    <w:rsid w:val="00BD1F95"/>
    <w:rsid w:val="00BD24E7"/>
    <w:rsid w:val="00BD2CFD"/>
    <w:rsid w:val="00BD2E8F"/>
    <w:rsid w:val="00BD36AE"/>
    <w:rsid w:val="00BD3A66"/>
    <w:rsid w:val="00BD3ACD"/>
    <w:rsid w:val="00BD4328"/>
    <w:rsid w:val="00BD4634"/>
    <w:rsid w:val="00BD48AC"/>
    <w:rsid w:val="00BD5F1A"/>
    <w:rsid w:val="00BD60B0"/>
    <w:rsid w:val="00BD713D"/>
    <w:rsid w:val="00BD7651"/>
    <w:rsid w:val="00BD7669"/>
    <w:rsid w:val="00BD7BD0"/>
    <w:rsid w:val="00BE00D2"/>
    <w:rsid w:val="00BE01C5"/>
    <w:rsid w:val="00BE1234"/>
    <w:rsid w:val="00BE1780"/>
    <w:rsid w:val="00BE1947"/>
    <w:rsid w:val="00BE1966"/>
    <w:rsid w:val="00BE2436"/>
    <w:rsid w:val="00BE2A41"/>
    <w:rsid w:val="00BE2FA6"/>
    <w:rsid w:val="00BE333F"/>
    <w:rsid w:val="00BE3507"/>
    <w:rsid w:val="00BE4191"/>
    <w:rsid w:val="00BE4BA4"/>
    <w:rsid w:val="00BE4EF2"/>
    <w:rsid w:val="00BE5122"/>
    <w:rsid w:val="00BE5DE4"/>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4E8F"/>
    <w:rsid w:val="00BF514B"/>
    <w:rsid w:val="00BF64EB"/>
    <w:rsid w:val="00BF6E60"/>
    <w:rsid w:val="00BF7266"/>
    <w:rsid w:val="00BF74C7"/>
    <w:rsid w:val="00BF750D"/>
    <w:rsid w:val="00BF7F03"/>
    <w:rsid w:val="00C009CD"/>
    <w:rsid w:val="00C01475"/>
    <w:rsid w:val="00C015F1"/>
    <w:rsid w:val="00C017C2"/>
    <w:rsid w:val="00C0180E"/>
    <w:rsid w:val="00C01CD8"/>
    <w:rsid w:val="00C01F33"/>
    <w:rsid w:val="00C026CF"/>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7377"/>
    <w:rsid w:val="00C0743A"/>
    <w:rsid w:val="00C07DAA"/>
    <w:rsid w:val="00C10478"/>
    <w:rsid w:val="00C1190E"/>
    <w:rsid w:val="00C12107"/>
    <w:rsid w:val="00C13643"/>
    <w:rsid w:val="00C14D4B"/>
    <w:rsid w:val="00C154BB"/>
    <w:rsid w:val="00C15504"/>
    <w:rsid w:val="00C15ADB"/>
    <w:rsid w:val="00C160B2"/>
    <w:rsid w:val="00C165DF"/>
    <w:rsid w:val="00C17993"/>
    <w:rsid w:val="00C2132E"/>
    <w:rsid w:val="00C218D6"/>
    <w:rsid w:val="00C21EFE"/>
    <w:rsid w:val="00C23264"/>
    <w:rsid w:val="00C23867"/>
    <w:rsid w:val="00C2461F"/>
    <w:rsid w:val="00C24B09"/>
    <w:rsid w:val="00C24BDA"/>
    <w:rsid w:val="00C25408"/>
    <w:rsid w:val="00C25554"/>
    <w:rsid w:val="00C25751"/>
    <w:rsid w:val="00C2636D"/>
    <w:rsid w:val="00C2645D"/>
    <w:rsid w:val="00C26A78"/>
    <w:rsid w:val="00C27242"/>
    <w:rsid w:val="00C27259"/>
    <w:rsid w:val="00C279B5"/>
    <w:rsid w:val="00C27C45"/>
    <w:rsid w:val="00C27D6B"/>
    <w:rsid w:val="00C301B0"/>
    <w:rsid w:val="00C31578"/>
    <w:rsid w:val="00C3222A"/>
    <w:rsid w:val="00C33F82"/>
    <w:rsid w:val="00C340F5"/>
    <w:rsid w:val="00C3497D"/>
    <w:rsid w:val="00C35DB8"/>
    <w:rsid w:val="00C36FAD"/>
    <w:rsid w:val="00C3719D"/>
    <w:rsid w:val="00C37CB2"/>
    <w:rsid w:val="00C37F97"/>
    <w:rsid w:val="00C40800"/>
    <w:rsid w:val="00C42465"/>
    <w:rsid w:val="00C4293F"/>
    <w:rsid w:val="00C43188"/>
    <w:rsid w:val="00C43813"/>
    <w:rsid w:val="00C445BE"/>
    <w:rsid w:val="00C44D28"/>
    <w:rsid w:val="00C450A5"/>
    <w:rsid w:val="00C4666C"/>
    <w:rsid w:val="00C46E6C"/>
    <w:rsid w:val="00C473A5"/>
    <w:rsid w:val="00C50F06"/>
    <w:rsid w:val="00C50F4E"/>
    <w:rsid w:val="00C5128D"/>
    <w:rsid w:val="00C51EFB"/>
    <w:rsid w:val="00C52E05"/>
    <w:rsid w:val="00C5312E"/>
    <w:rsid w:val="00C533B2"/>
    <w:rsid w:val="00C542A0"/>
    <w:rsid w:val="00C54710"/>
    <w:rsid w:val="00C54995"/>
    <w:rsid w:val="00C54C4D"/>
    <w:rsid w:val="00C54D41"/>
    <w:rsid w:val="00C54DC8"/>
    <w:rsid w:val="00C5541A"/>
    <w:rsid w:val="00C55CF0"/>
    <w:rsid w:val="00C56080"/>
    <w:rsid w:val="00C5671F"/>
    <w:rsid w:val="00C56BB3"/>
    <w:rsid w:val="00C56EF3"/>
    <w:rsid w:val="00C574B9"/>
    <w:rsid w:val="00C57506"/>
    <w:rsid w:val="00C60783"/>
    <w:rsid w:val="00C6101C"/>
    <w:rsid w:val="00C61221"/>
    <w:rsid w:val="00C61371"/>
    <w:rsid w:val="00C619DA"/>
    <w:rsid w:val="00C623C5"/>
    <w:rsid w:val="00C627DA"/>
    <w:rsid w:val="00C62B8D"/>
    <w:rsid w:val="00C63931"/>
    <w:rsid w:val="00C63E69"/>
    <w:rsid w:val="00C64310"/>
    <w:rsid w:val="00C64672"/>
    <w:rsid w:val="00C65F1E"/>
    <w:rsid w:val="00C66D7F"/>
    <w:rsid w:val="00C700AF"/>
    <w:rsid w:val="00C70697"/>
    <w:rsid w:val="00C72093"/>
    <w:rsid w:val="00C72EF4"/>
    <w:rsid w:val="00C744FE"/>
    <w:rsid w:val="00C746AB"/>
    <w:rsid w:val="00C74911"/>
    <w:rsid w:val="00C74A7D"/>
    <w:rsid w:val="00C75A5C"/>
    <w:rsid w:val="00C75D2F"/>
    <w:rsid w:val="00C75E10"/>
    <w:rsid w:val="00C76395"/>
    <w:rsid w:val="00C767BE"/>
    <w:rsid w:val="00C76A57"/>
    <w:rsid w:val="00C76E3C"/>
    <w:rsid w:val="00C80A8C"/>
    <w:rsid w:val="00C80BD6"/>
    <w:rsid w:val="00C81568"/>
    <w:rsid w:val="00C81956"/>
    <w:rsid w:val="00C81C07"/>
    <w:rsid w:val="00C8244C"/>
    <w:rsid w:val="00C834D7"/>
    <w:rsid w:val="00C83793"/>
    <w:rsid w:val="00C838B5"/>
    <w:rsid w:val="00C83DAE"/>
    <w:rsid w:val="00C83DD7"/>
    <w:rsid w:val="00C84011"/>
    <w:rsid w:val="00C86282"/>
    <w:rsid w:val="00C862F8"/>
    <w:rsid w:val="00C8655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4ED0"/>
    <w:rsid w:val="00C9538C"/>
    <w:rsid w:val="00C95B40"/>
    <w:rsid w:val="00C95DAB"/>
    <w:rsid w:val="00C96CCE"/>
    <w:rsid w:val="00C97129"/>
    <w:rsid w:val="00C97B29"/>
    <w:rsid w:val="00CA0100"/>
    <w:rsid w:val="00CA1467"/>
    <w:rsid w:val="00CA1ED8"/>
    <w:rsid w:val="00CA25BA"/>
    <w:rsid w:val="00CA34E2"/>
    <w:rsid w:val="00CA39A2"/>
    <w:rsid w:val="00CA3DE9"/>
    <w:rsid w:val="00CA3FFA"/>
    <w:rsid w:val="00CA43F2"/>
    <w:rsid w:val="00CA4708"/>
    <w:rsid w:val="00CA4944"/>
    <w:rsid w:val="00CA495D"/>
    <w:rsid w:val="00CA5626"/>
    <w:rsid w:val="00CA5871"/>
    <w:rsid w:val="00CA5C23"/>
    <w:rsid w:val="00CA63BF"/>
    <w:rsid w:val="00CA694C"/>
    <w:rsid w:val="00CA6BCF"/>
    <w:rsid w:val="00CA6EA4"/>
    <w:rsid w:val="00CA70A3"/>
    <w:rsid w:val="00CB1808"/>
    <w:rsid w:val="00CB18CE"/>
    <w:rsid w:val="00CB1906"/>
    <w:rsid w:val="00CB1995"/>
    <w:rsid w:val="00CB1F63"/>
    <w:rsid w:val="00CB271E"/>
    <w:rsid w:val="00CB2D0F"/>
    <w:rsid w:val="00CB322D"/>
    <w:rsid w:val="00CB3A0C"/>
    <w:rsid w:val="00CB3B8D"/>
    <w:rsid w:val="00CB4835"/>
    <w:rsid w:val="00CB4A0A"/>
    <w:rsid w:val="00CB4D1D"/>
    <w:rsid w:val="00CB53CE"/>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5481"/>
    <w:rsid w:val="00CC556C"/>
    <w:rsid w:val="00CC6AB6"/>
    <w:rsid w:val="00CC6EBD"/>
    <w:rsid w:val="00CC7A31"/>
    <w:rsid w:val="00CC7B45"/>
    <w:rsid w:val="00CC7DDB"/>
    <w:rsid w:val="00CD0945"/>
    <w:rsid w:val="00CD0BC5"/>
    <w:rsid w:val="00CD0BE9"/>
    <w:rsid w:val="00CD0E3C"/>
    <w:rsid w:val="00CD0ECD"/>
    <w:rsid w:val="00CD1188"/>
    <w:rsid w:val="00CD1D7F"/>
    <w:rsid w:val="00CD2ED1"/>
    <w:rsid w:val="00CD31EE"/>
    <w:rsid w:val="00CD337B"/>
    <w:rsid w:val="00CD439B"/>
    <w:rsid w:val="00CD4933"/>
    <w:rsid w:val="00CD4FD0"/>
    <w:rsid w:val="00CD545D"/>
    <w:rsid w:val="00CD5FF9"/>
    <w:rsid w:val="00CD6EB7"/>
    <w:rsid w:val="00CE0424"/>
    <w:rsid w:val="00CE15B4"/>
    <w:rsid w:val="00CE1862"/>
    <w:rsid w:val="00CE2B99"/>
    <w:rsid w:val="00CE4055"/>
    <w:rsid w:val="00CE4F86"/>
    <w:rsid w:val="00CE5BAE"/>
    <w:rsid w:val="00CE66D2"/>
    <w:rsid w:val="00CE7561"/>
    <w:rsid w:val="00CE796C"/>
    <w:rsid w:val="00CF1354"/>
    <w:rsid w:val="00CF14EA"/>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222D"/>
    <w:rsid w:val="00D023AC"/>
    <w:rsid w:val="00D0349B"/>
    <w:rsid w:val="00D036B0"/>
    <w:rsid w:val="00D03E72"/>
    <w:rsid w:val="00D044EF"/>
    <w:rsid w:val="00D04779"/>
    <w:rsid w:val="00D0528E"/>
    <w:rsid w:val="00D05502"/>
    <w:rsid w:val="00D059D3"/>
    <w:rsid w:val="00D05DDC"/>
    <w:rsid w:val="00D0656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0375"/>
    <w:rsid w:val="00D21558"/>
    <w:rsid w:val="00D21B7C"/>
    <w:rsid w:val="00D22196"/>
    <w:rsid w:val="00D2285D"/>
    <w:rsid w:val="00D22F2A"/>
    <w:rsid w:val="00D239A7"/>
    <w:rsid w:val="00D23F47"/>
    <w:rsid w:val="00D24887"/>
    <w:rsid w:val="00D2542B"/>
    <w:rsid w:val="00D259FF"/>
    <w:rsid w:val="00D25CDE"/>
    <w:rsid w:val="00D26777"/>
    <w:rsid w:val="00D26888"/>
    <w:rsid w:val="00D2785A"/>
    <w:rsid w:val="00D3125B"/>
    <w:rsid w:val="00D32F11"/>
    <w:rsid w:val="00D3364D"/>
    <w:rsid w:val="00D35215"/>
    <w:rsid w:val="00D35518"/>
    <w:rsid w:val="00D35852"/>
    <w:rsid w:val="00D35E60"/>
    <w:rsid w:val="00D36E71"/>
    <w:rsid w:val="00D376CE"/>
    <w:rsid w:val="00D37C25"/>
    <w:rsid w:val="00D37D87"/>
    <w:rsid w:val="00D40B33"/>
    <w:rsid w:val="00D42372"/>
    <w:rsid w:val="00D42B82"/>
    <w:rsid w:val="00D4318F"/>
    <w:rsid w:val="00D438BF"/>
    <w:rsid w:val="00D439D3"/>
    <w:rsid w:val="00D43D5A"/>
    <w:rsid w:val="00D440F8"/>
    <w:rsid w:val="00D44BF6"/>
    <w:rsid w:val="00D44F9B"/>
    <w:rsid w:val="00D458DE"/>
    <w:rsid w:val="00D45D88"/>
    <w:rsid w:val="00D45F46"/>
    <w:rsid w:val="00D46BE9"/>
    <w:rsid w:val="00D46DD7"/>
    <w:rsid w:val="00D47A1C"/>
    <w:rsid w:val="00D47E64"/>
    <w:rsid w:val="00D51967"/>
    <w:rsid w:val="00D53DF3"/>
    <w:rsid w:val="00D546FF"/>
    <w:rsid w:val="00D550EA"/>
    <w:rsid w:val="00D55144"/>
    <w:rsid w:val="00D5572C"/>
    <w:rsid w:val="00D55AD5"/>
    <w:rsid w:val="00D5737D"/>
    <w:rsid w:val="00D576CA"/>
    <w:rsid w:val="00D60584"/>
    <w:rsid w:val="00D607BF"/>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3156"/>
    <w:rsid w:val="00D73238"/>
    <w:rsid w:val="00D7408B"/>
    <w:rsid w:val="00D7531F"/>
    <w:rsid w:val="00D753CF"/>
    <w:rsid w:val="00D7696D"/>
    <w:rsid w:val="00D76D3B"/>
    <w:rsid w:val="00D77640"/>
    <w:rsid w:val="00D77B1D"/>
    <w:rsid w:val="00D77CB1"/>
    <w:rsid w:val="00D77EC1"/>
    <w:rsid w:val="00D8021F"/>
    <w:rsid w:val="00D80383"/>
    <w:rsid w:val="00D81570"/>
    <w:rsid w:val="00D81DBA"/>
    <w:rsid w:val="00D8208A"/>
    <w:rsid w:val="00D823C6"/>
    <w:rsid w:val="00D82F75"/>
    <w:rsid w:val="00D8327F"/>
    <w:rsid w:val="00D83DB9"/>
    <w:rsid w:val="00D84C54"/>
    <w:rsid w:val="00D854BE"/>
    <w:rsid w:val="00D859DE"/>
    <w:rsid w:val="00D86BB2"/>
    <w:rsid w:val="00D86CA3"/>
    <w:rsid w:val="00D86CDB"/>
    <w:rsid w:val="00D87197"/>
    <w:rsid w:val="00D871CE"/>
    <w:rsid w:val="00D872BE"/>
    <w:rsid w:val="00D9196D"/>
    <w:rsid w:val="00D91AE1"/>
    <w:rsid w:val="00D91B33"/>
    <w:rsid w:val="00D92982"/>
    <w:rsid w:val="00D92B6C"/>
    <w:rsid w:val="00D932FD"/>
    <w:rsid w:val="00D938CD"/>
    <w:rsid w:val="00D93A12"/>
    <w:rsid w:val="00D93B17"/>
    <w:rsid w:val="00D94C8C"/>
    <w:rsid w:val="00D95471"/>
    <w:rsid w:val="00D95CE9"/>
    <w:rsid w:val="00D967DE"/>
    <w:rsid w:val="00D97336"/>
    <w:rsid w:val="00D97414"/>
    <w:rsid w:val="00DA0BEF"/>
    <w:rsid w:val="00DA0BFD"/>
    <w:rsid w:val="00DA16B7"/>
    <w:rsid w:val="00DA17B8"/>
    <w:rsid w:val="00DA1D8F"/>
    <w:rsid w:val="00DA2601"/>
    <w:rsid w:val="00DA305E"/>
    <w:rsid w:val="00DA35A4"/>
    <w:rsid w:val="00DA4161"/>
    <w:rsid w:val="00DA4B6A"/>
    <w:rsid w:val="00DA51FD"/>
    <w:rsid w:val="00DA5326"/>
    <w:rsid w:val="00DA5417"/>
    <w:rsid w:val="00DA56E8"/>
    <w:rsid w:val="00DA5766"/>
    <w:rsid w:val="00DA7E97"/>
    <w:rsid w:val="00DB0A9F"/>
    <w:rsid w:val="00DB12F4"/>
    <w:rsid w:val="00DB2AB4"/>
    <w:rsid w:val="00DB2E98"/>
    <w:rsid w:val="00DB377D"/>
    <w:rsid w:val="00DB40D4"/>
    <w:rsid w:val="00DB4749"/>
    <w:rsid w:val="00DB4DB1"/>
    <w:rsid w:val="00DB66A4"/>
    <w:rsid w:val="00DB758C"/>
    <w:rsid w:val="00DB7BA5"/>
    <w:rsid w:val="00DC1B39"/>
    <w:rsid w:val="00DC2D36"/>
    <w:rsid w:val="00DC3B00"/>
    <w:rsid w:val="00DC4557"/>
    <w:rsid w:val="00DC53EF"/>
    <w:rsid w:val="00DC5514"/>
    <w:rsid w:val="00DC5AF5"/>
    <w:rsid w:val="00DC69C2"/>
    <w:rsid w:val="00DC6D77"/>
    <w:rsid w:val="00DC7BAC"/>
    <w:rsid w:val="00DD1251"/>
    <w:rsid w:val="00DD139D"/>
    <w:rsid w:val="00DD1BDC"/>
    <w:rsid w:val="00DD261D"/>
    <w:rsid w:val="00DD300C"/>
    <w:rsid w:val="00DD3CB5"/>
    <w:rsid w:val="00DD3D65"/>
    <w:rsid w:val="00DD53D0"/>
    <w:rsid w:val="00DD540A"/>
    <w:rsid w:val="00DD5BE2"/>
    <w:rsid w:val="00DD5CE4"/>
    <w:rsid w:val="00DD6040"/>
    <w:rsid w:val="00DD6A3A"/>
    <w:rsid w:val="00DD766C"/>
    <w:rsid w:val="00DE1D75"/>
    <w:rsid w:val="00DE33FE"/>
    <w:rsid w:val="00DE4E32"/>
    <w:rsid w:val="00DE5608"/>
    <w:rsid w:val="00DE58D0"/>
    <w:rsid w:val="00DE654F"/>
    <w:rsid w:val="00DE6BF2"/>
    <w:rsid w:val="00DE6D66"/>
    <w:rsid w:val="00DF02F8"/>
    <w:rsid w:val="00DF0355"/>
    <w:rsid w:val="00DF071C"/>
    <w:rsid w:val="00DF0B4B"/>
    <w:rsid w:val="00DF0B6E"/>
    <w:rsid w:val="00DF0BBE"/>
    <w:rsid w:val="00DF15E0"/>
    <w:rsid w:val="00DF1BB4"/>
    <w:rsid w:val="00DF2084"/>
    <w:rsid w:val="00DF29A9"/>
    <w:rsid w:val="00DF2F68"/>
    <w:rsid w:val="00DF37A0"/>
    <w:rsid w:val="00DF380A"/>
    <w:rsid w:val="00DF4ABD"/>
    <w:rsid w:val="00DF4FFA"/>
    <w:rsid w:val="00DF579F"/>
    <w:rsid w:val="00DF69C4"/>
    <w:rsid w:val="00DF6BD9"/>
    <w:rsid w:val="00DF7C0F"/>
    <w:rsid w:val="00E0001F"/>
    <w:rsid w:val="00E00063"/>
    <w:rsid w:val="00E008CB"/>
    <w:rsid w:val="00E00BD3"/>
    <w:rsid w:val="00E00CC7"/>
    <w:rsid w:val="00E00CF2"/>
    <w:rsid w:val="00E015A1"/>
    <w:rsid w:val="00E018EE"/>
    <w:rsid w:val="00E02E18"/>
    <w:rsid w:val="00E03EEE"/>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61C"/>
    <w:rsid w:val="00E11931"/>
    <w:rsid w:val="00E11A9C"/>
    <w:rsid w:val="00E11B20"/>
    <w:rsid w:val="00E11C0C"/>
    <w:rsid w:val="00E12E41"/>
    <w:rsid w:val="00E13554"/>
    <w:rsid w:val="00E14DBD"/>
    <w:rsid w:val="00E15307"/>
    <w:rsid w:val="00E159C7"/>
    <w:rsid w:val="00E168DF"/>
    <w:rsid w:val="00E17FA2"/>
    <w:rsid w:val="00E2093E"/>
    <w:rsid w:val="00E215AB"/>
    <w:rsid w:val="00E21A5E"/>
    <w:rsid w:val="00E21F3C"/>
    <w:rsid w:val="00E22330"/>
    <w:rsid w:val="00E236ED"/>
    <w:rsid w:val="00E2381B"/>
    <w:rsid w:val="00E2562B"/>
    <w:rsid w:val="00E25FF6"/>
    <w:rsid w:val="00E2690D"/>
    <w:rsid w:val="00E269E4"/>
    <w:rsid w:val="00E26D4A"/>
    <w:rsid w:val="00E27632"/>
    <w:rsid w:val="00E27685"/>
    <w:rsid w:val="00E30717"/>
    <w:rsid w:val="00E30B35"/>
    <w:rsid w:val="00E30B5A"/>
    <w:rsid w:val="00E30FA2"/>
    <w:rsid w:val="00E3123D"/>
    <w:rsid w:val="00E31461"/>
    <w:rsid w:val="00E31D43"/>
    <w:rsid w:val="00E32608"/>
    <w:rsid w:val="00E3278D"/>
    <w:rsid w:val="00E34188"/>
    <w:rsid w:val="00E348E5"/>
    <w:rsid w:val="00E34B6E"/>
    <w:rsid w:val="00E34C69"/>
    <w:rsid w:val="00E35559"/>
    <w:rsid w:val="00E36C33"/>
    <w:rsid w:val="00E37149"/>
    <w:rsid w:val="00E3723A"/>
    <w:rsid w:val="00E37860"/>
    <w:rsid w:val="00E37AEC"/>
    <w:rsid w:val="00E37CD7"/>
    <w:rsid w:val="00E40496"/>
    <w:rsid w:val="00E40B4A"/>
    <w:rsid w:val="00E420BE"/>
    <w:rsid w:val="00E4260D"/>
    <w:rsid w:val="00E43263"/>
    <w:rsid w:val="00E446F1"/>
    <w:rsid w:val="00E44870"/>
    <w:rsid w:val="00E46886"/>
    <w:rsid w:val="00E46B43"/>
    <w:rsid w:val="00E4712D"/>
    <w:rsid w:val="00E473A5"/>
    <w:rsid w:val="00E479C7"/>
    <w:rsid w:val="00E47AEF"/>
    <w:rsid w:val="00E47EDE"/>
    <w:rsid w:val="00E505E9"/>
    <w:rsid w:val="00E50A7F"/>
    <w:rsid w:val="00E51361"/>
    <w:rsid w:val="00E51C1E"/>
    <w:rsid w:val="00E526C4"/>
    <w:rsid w:val="00E534F4"/>
    <w:rsid w:val="00E53B4B"/>
    <w:rsid w:val="00E53B75"/>
    <w:rsid w:val="00E53CDB"/>
    <w:rsid w:val="00E53F51"/>
    <w:rsid w:val="00E54D7E"/>
    <w:rsid w:val="00E54E3B"/>
    <w:rsid w:val="00E56478"/>
    <w:rsid w:val="00E56899"/>
    <w:rsid w:val="00E568E1"/>
    <w:rsid w:val="00E569C7"/>
    <w:rsid w:val="00E56A9A"/>
    <w:rsid w:val="00E56D10"/>
    <w:rsid w:val="00E57377"/>
    <w:rsid w:val="00E57565"/>
    <w:rsid w:val="00E579A3"/>
    <w:rsid w:val="00E60141"/>
    <w:rsid w:val="00E60321"/>
    <w:rsid w:val="00E60A4E"/>
    <w:rsid w:val="00E62388"/>
    <w:rsid w:val="00E62DCF"/>
    <w:rsid w:val="00E63838"/>
    <w:rsid w:val="00E63976"/>
    <w:rsid w:val="00E64434"/>
    <w:rsid w:val="00E64441"/>
    <w:rsid w:val="00E6450A"/>
    <w:rsid w:val="00E64935"/>
    <w:rsid w:val="00E64BDA"/>
    <w:rsid w:val="00E65DE6"/>
    <w:rsid w:val="00E65F0B"/>
    <w:rsid w:val="00E66076"/>
    <w:rsid w:val="00E660DB"/>
    <w:rsid w:val="00E6694C"/>
    <w:rsid w:val="00E675CF"/>
    <w:rsid w:val="00E67A14"/>
    <w:rsid w:val="00E67C51"/>
    <w:rsid w:val="00E7065D"/>
    <w:rsid w:val="00E71447"/>
    <w:rsid w:val="00E724E5"/>
    <w:rsid w:val="00E72E82"/>
    <w:rsid w:val="00E72EFC"/>
    <w:rsid w:val="00E73019"/>
    <w:rsid w:val="00E75523"/>
    <w:rsid w:val="00E758EC"/>
    <w:rsid w:val="00E76978"/>
    <w:rsid w:val="00E803DD"/>
    <w:rsid w:val="00E8234C"/>
    <w:rsid w:val="00E8274F"/>
    <w:rsid w:val="00E827E0"/>
    <w:rsid w:val="00E82863"/>
    <w:rsid w:val="00E82FEF"/>
    <w:rsid w:val="00E8371B"/>
    <w:rsid w:val="00E83813"/>
    <w:rsid w:val="00E838B0"/>
    <w:rsid w:val="00E83AA9"/>
    <w:rsid w:val="00E84572"/>
    <w:rsid w:val="00E8506C"/>
    <w:rsid w:val="00E85681"/>
    <w:rsid w:val="00E85928"/>
    <w:rsid w:val="00E85AE5"/>
    <w:rsid w:val="00E870D5"/>
    <w:rsid w:val="00E875E6"/>
    <w:rsid w:val="00E87822"/>
    <w:rsid w:val="00E87FA1"/>
    <w:rsid w:val="00E90395"/>
    <w:rsid w:val="00E90E49"/>
    <w:rsid w:val="00E911C6"/>
    <w:rsid w:val="00E917F9"/>
    <w:rsid w:val="00E91866"/>
    <w:rsid w:val="00E923A5"/>
    <w:rsid w:val="00E9291C"/>
    <w:rsid w:val="00E93596"/>
    <w:rsid w:val="00E938CC"/>
    <w:rsid w:val="00E93FFE"/>
    <w:rsid w:val="00E946D7"/>
    <w:rsid w:val="00E947B0"/>
    <w:rsid w:val="00E94F8A"/>
    <w:rsid w:val="00E9522A"/>
    <w:rsid w:val="00E961DE"/>
    <w:rsid w:val="00E96DFD"/>
    <w:rsid w:val="00E97804"/>
    <w:rsid w:val="00EA095E"/>
    <w:rsid w:val="00EA0BA0"/>
    <w:rsid w:val="00EA1885"/>
    <w:rsid w:val="00EA1E42"/>
    <w:rsid w:val="00EA29BC"/>
    <w:rsid w:val="00EA3B67"/>
    <w:rsid w:val="00EA3DAA"/>
    <w:rsid w:val="00EA4F7C"/>
    <w:rsid w:val="00EA571C"/>
    <w:rsid w:val="00EA57C9"/>
    <w:rsid w:val="00EA5A48"/>
    <w:rsid w:val="00EA5D32"/>
    <w:rsid w:val="00EA617D"/>
    <w:rsid w:val="00EA7A41"/>
    <w:rsid w:val="00EB01DF"/>
    <w:rsid w:val="00EB077B"/>
    <w:rsid w:val="00EB0C4D"/>
    <w:rsid w:val="00EB1120"/>
    <w:rsid w:val="00EB11D7"/>
    <w:rsid w:val="00EB40EB"/>
    <w:rsid w:val="00EB4EA2"/>
    <w:rsid w:val="00EB56C3"/>
    <w:rsid w:val="00EC083D"/>
    <w:rsid w:val="00EC0D64"/>
    <w:rsid w:val="00EC1045"/>
    <w:rsid w:val="00EC16B4"/>
    <w:rsid w:val="00EC19C9"/>
    <w:rsid w:val="00EC2066"/>
    <w:rsid w:val="00EC24D5"/>
    <w:rsid w:val="00EC27C6"/>
    <w:rsid w:val="00EC2C25"/>
    <w:rsid w:val="00EC4207"/>
    <w:rsid w:val="00EC4447"/>
    <w:rsid w:val="00EC49E6"/>
    <w:rsid w:val="00EC5653"/>
    <w:rsid w:val="00EC568E"/>
    <w:rsid w:val="00EC5F82"/>
    <w:rsid w:val="00EC6C7F"/>
    <w:rsid w:val="00EC6E03"/>
    <w:rsid w:val="00EC71CE"/>
    <w:rsid w:val="00EC758F"/>
    <w:rsid w:val="00EC794B"/>
    <w:rsid w:val="00EC7CAE"/>
    <w:rsid w:val="00ED1006"/>
    <w:rsid w:val="00ED1141"/>
    <w:rsid w:val="00ED121D"/>
    <w:rsid w:val="00ED1A41"/>
    <w:rsid w:val="00ED204E"/>
    <w:rsid w:val="00ED2E2F"/>
    <w:rsid w:val="00ED2E7D"/>
    <w:rsid w:val="00ED32A1"/>
    <w:rsid w:val="00ED3583"/>
    <w:rsid w:val="00ED3C5D"/>
    <w:rsid w:val="00ED406E"/>
    <w:rsid w:val="00ED40A2"/>
    <w:rsid w:val="00ED69CD"/>
    <w:rsid w:val="00ED69E6"/>
    <w:rsid w:val="00ED6A7D"/>
    <w:rsid w:val="00ED6C52"/>
    <w:rsid w:val="00ED7179"/>
    <w:rsid w:val="00EE07E6"/>
    <w:rsid w:val="00EE0DE3"/>
    <w:rsid w:val="00EE173D"/>
    <w:rsid w:val="00EE1CF4"/>
    <w:rsid w:val="00EE2034"/>
    <w:rsid w:val="00EE283F"/>
    <w:rsid w:val="00EE29C6"/>
    <w:rsid w:val="00EE2B48"/>
    <w:rsid w:val="00EE427A"/>
    <w:rsid w:val="00EE435A"/>
    <w:rsid w:val="00EE4AAB"/>
    <w:rsid w:val="00EE4F13"/>
    <w:rsid w:val="00EE5151"/>
    <w:rsid w:val="00EE5784"/>
    <w:rsid w:val="00EE5949"/>
    <w:rsid w:val="00EE68A5"/>
    <w:rsid w:val="00EE7FA2"/>
    <w:rsid w:val="00EF022D"/>
    <w:rsid w:val="00EF02F5"/>
    <w:rsid w:val="00EF049B"/>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6356"/>
    <w:rsid w:val="00EF7760"/>
    <w:rsid w:val="00F00FE8"/>
    <w:rsid w:val="00F014C8"/>
    <w:rsid w:val="00F016ED"/>
    <w:rsid w:val="00F01C09"/>
    <w:rsid w:val="00F01DC3"/>
    <w:rsid w:val="00F0263A"/>
    <w:rsid w:val="00F02999"/>
    <w:rsid w:val="00F048BB"/>
    <w:rsid w:val="00F04A6E"/>
    <w:rsid w:val="00F04D42"/>
    <w:rsid w:val="00F051B7"/>
    <w:rsid w:val="00F0528D"/>
    <w:rsid w:val="00F06C67"/>
    <w:rsid w:val="00F06DFD"/>
    <w:rsid w:val="00F071D1"/>
    <w:rsid w:val="00F073B9"/>
    <w:rsid w:val="00F07533"/>
    <w:rsid w:val="00F1025E"/>
    <w:rsid w:val="00F104BF"/>
    <w:rsid w:val="00F10629"/>
    <w:rsid w:val="00F108ED"/>
    <w:rsid w:val="00F10AF0"/>
    <w:rsid w:val="00F11333"/>
    <w:rsid w:val="00F1134F"/>
    <w:rsid w:val="00F12AA0"/>
    <w:rsid w:val="00F12F62"/>
    <w:rsid w:val="00F12FE5"/>
    <w:rsid w:val="00F130CB"/>
    <w:rsid w:val="00F1407B"/>
    <w:rsid w:val="00F14B44"/>
    <w:rsid w:val="00F14D3E"/>
    <w:rsid w:val="00F15975"/>
    <w:rsid w:val="00F15FA5"/>
    <w:rsid w:val="00F1621E"/>
    <w:rsid w:val="00F167F1"/>
    <w:rsid w:val="00F209B7"/>
    <w:rsid w:val="00F20E56"/>
    <w:rsid w:val="00F210B5"/>
    <w:rsid w:val="00F2376F"/>
    <w:rsid w:val="00F2389B"/>
    <w:rsid w:val="00F243D8"/>
    <w:rsid w:val="00F25860"/>
    <w:rsid w:val="00F261F1"/>
    <w:rsid w:val="00F26A94"/>
    <w:rsid w:val="00F27022"/>
    <w:rsid w:val="00F30668"/>
    <w:rsid w:val="00F30739"/>
    <w:rsid w:val="00F30828"/>
    <w:rsid w:val="00F308A2"/>
    <w:rsid w:val="00F310D2"/>
    <w:rsid w:val="00F313D6"/>
    <w:rsid w:val="00F3202A"/>
    <w:rsid w:val="00F3244C"/>
    <w:rsid w:val="00F329EA"/>
    <w:rsid w:val="00F32B28"/>
    <w:rsid w:val="00F33E66"/>
    <w:rsid w:val="00F34ACA"/>
    <w:rsid w:val="00F360BD"/>
    <w:rsid w:val="00F36E19"/>
    <w:rsid w:val="00F37847"/>
    <w:rsid w:val="00F37A23"/>
    <w:rsid w:val="00F37F61"/>
    <w:rsid w:val="00F402A0"/>
    <w:rsid w:val="00F40489"/>
    <w:rsid w:val="00F40BC4"/>
    <w:rsid w:val="00F40F0C"/>
    <w:rsid w:val="00F41655"/>
    <w:rsid w:val="00F41F2C"/>
    <w:rsid w:val="00F420E7"/>
    <w:rsid w:val="00F42187"/>
    <w:rsid w:val="00F426EC"/>
    <w:rsid w:val="00F4331A"/>
    <w:rsid w:val="00F4380C"/>
    <w:rsid w:val="00F449AF"/>
    <w:rsid w:val="00F45CCA"/>
    <w:rsid w:val="00F4605E"/>
    <w:rsid w:val="00F460D2"/>
    <w:rsid w:val="00F462C8"/>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312E"/>
    <w:rsid w:val="00F539C7"/>
    <w:rsid w:val="00F53BA5"/>
    <w:rsid w:val="00F53CFE"/>
    <w:rsid w:val="00F53F68"/>
    <w:rsid w:val="00F556B3"/>
    <w:rsid w:val="00F55D56"/>
    <w:rsid w:val="00F57226"/>
    <w:rsid w:val="00F5776E"/>
    <w:rsid w:val="00F60203"/>
    <w:rsid w:val="00F60301"/>
    <w:rsid w:val="00F607C5"/>
    <w:rsid w:val="00F60DEA"/>
    <w:rsid w:val="00F625B8"/>
    <w:rsid w:val="00F62B7E"/>
    <w:rsid w:val="00F6302A"/>
    <w:rsid w:val="00F63950"/>
    <w:rsid w:val="00F64C2B"/>
    <w:rsid w:val="00F651BE"/>
    <w:rsid w:val="00F65C45"/>
    <w:rsid w:val="00F660D8"/>
    <w:rsid w:val="00F665A5"/>
    <w:rsid w:val="00F66E47"/>
    <w:rsid w:val="00F677F0"/>
    <w:rsid w:val="00F67AD5"/>
    <w:rsid w:val="00F67DC9"/>
    <w:rsid w:val="00F67F53"/>
    <w:rsid w:val="00F7004C"/>
    <w:rsid w:val="00F703BE"/>
    <w:rsid w:val="00F70FBF"/>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1147"/>
    <w:rsid w:val="00F817CE"/>
    <w:rsid w:val="00F8209D"/>
    <w:rsid w:val="00F82DB1"/>
    <w:rsid w:val="00F830DE"/>
    <w:rsid w:val="00F83288"/>
    <w:rsid w:val="00F83604"/>
    <w:rsid w:val="00F8456C"/>
    <w:rsid w:val="00F84EB6"/>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54"/>
    <w:rsid w:val="00F94EC3"/>
    <w:rsid w:val="00F950EA"/>
    <w:rsid w:val="00F953FB"/>
    <w:rsid w:val="00F95526"/>
    <w:rsid w:val="00F96404"/>
    <w:rsid w:val="00F96538"/>
    <w:rsid w:val="00F967B2"/>
    <w:rsid w:val="00F96955"/>
    <w:rsid w:val="00F96985"/>
    <w:rsid w:val="00F96CC8"/>
    <w:rsid w:val="00F97838"/>
    <w:rsid w:val="00FA1A41"/>
    <w:rsid w:val="00FA25C8"/>
    <w:rsid w:val="00FA2BB3"/>
    <w:rsid w:val="00FA3B46"/>
    <w:rsid w:val="00FA427A"/>
    <w:rsid w:val="00FA431D"/>
    <w:rsid w:val="00FA4F4A"/>
    <w:rsid w:val="00FB0742"/>
    <w:rsid w:val="00FB0C2E"/>
    <w:rsid w:val="00FB437A"/>
    <w:rsid w:val="00FB48C9"/>
    <w:rsid w:val="00FB49BF"/>
    <w:rsid w:val="00FB4C80"/>
    <w:rsid w:val="00FB599B"/>
    <w:rsid w:val="00FB5C68"/>
    <w:rsid w:val="00FB5DDD"/>
    <w:rsid w:val="00FB6A6A"/>
    <w:rsid w:val="00FC0906"/>
    <w:rsid w:val="00FC0D30"/>
    <w:rsid w:val="00FC11A5"/>
    <w:rsid w:val="00FC12F8"/>
    <w:rsid w:val="00FC12FA"/>
    <w:rsid w:val="00FC1780"/>
    <w:rsid w:val="00FC179B"/>
    <w:rsid w:val="00FC1AC4"/>
    <w:rsid w:val="00FC3846"/>
    <w:rsid w:val="00FC3928"/>
    <w:rsid w:val="00FC3B56"/>
    <w:rsid w:val="00FC3C3B"/>
    <w:rsid w:val="00FC412B"/>
    <w:rsid w:val="00FC5582"/>
    <w:rsid w:val="00FC64DE"/>
    <w:rsid w:val="00FC7429"/>
    <w:rsid w:val="00FD07F6"/>
    <w:rsid w:val="00FD1EC8"/>
    <w:rsid w:val="00FD1ED0"/>
    <w:rsid w:val="00FD1F77"/>
    <w:rsid w:val="00FD264E"/>
    <w:rsid w:val="00FD2C60"/>
    <w:rsid w:val="00FD3920"/>
    <w:rsid w:val="00FD4118"/>
    <w:rsid w:val="00FD4180"/>
    <w:rsid w:val="00FD47ED"/>
    <w:rsid w:val="00FD4E04"/>
    <w:rsid w:val="00FD5ADD"/>
    <w:rsid w:val="00FD5FDF"/>
    <w:rsid w:val="00FD6000"/>
    <w:rsid w:val="00FD7268"/>
    <w:rsid w:val="00FD74DB"/>
    <w:rsid w:val="00FD7660"/>
    <w:rsid w:val="00FE00C1"/>
    <w:rsid w:val="00FE0655"/>
    <w:rsid w:val="00FE14E4"/>
    <w:rsid w:val="00FE1C0B"/>
    <w:rsid w:val="00FE2365"/>
    <w:rsid w:val="00FE26F3"/>
    <w:rsid w:val="00FE2728"/>
    <w:rsid w:val="00FE2F27"/>
    <w:rsid w:val="00FE32BC"/>
    <w:rsid w:val="00FE37D7"/>
    <w:rsid w:val="00FE47DC"/>
    <w:rsid w:val="00FE4C7B"/>
    <w:rsid w:val="00FE4FF9"/>
    <w:rsid w:val="00FE582B"/>
    <w:rsid w:val="00FE62EA"/>
    <w:rsid w:val="00FE68F6"/>
    <w:rsid w:val="00FE7336"/>
    <w:rsid w:val="00FE785E"/>
    <w:rsid w:val="00FE787C"/>
    <w:rsid w:val="00FE7CE4"/>
    <w:rsid w:val="00FF0798"/>
    <w:rsid w:val="00FF1509"/>
    <w:rsid w:val="00FF1FE3"/>
    <w:rsid w:val="00FF32E4"/>
    <w:rsid w:val="00FF3353"/>
    <w:rsid w:val="00FF387A"/>
    <w:rsid w:val="00FF42D2"/>
    <w:rsid w:val="00FF45A5"/>
    <w:rsid w:val="00FF5247"/>
    <w:rsid w:val="00FF56CD"/>
    <w:rsid w:val="00FF5C91"/>
    <w:rsid w:val="00FF68C5"/>
    <w:rsid w:val="00FF7260"/>
    <w:rsid w:val="00FF77E1"/>
    <w:rsid w:val="011D538D"/>
    <w:rsid w:val="013F0AEF"/>
    <w:rsid w:val="019C2519"/>
    <w:rsid w:val="019E78DD"/>
    <w:rsid w:val="021E3335"/>
    <w:rsid w:val="025B7A45"/>
    <w:rsid w:val="02A36E14"/>
    <w:rsid w:val="02FE79FE"/>
    <w:rsid w:val="030501C5"/>
    <w:rsid w:val="03412554"/>
    <w:rsid w:val="03764359"/>
    <w:rsid w:val="03EE7407"/>
    <w:rsid w:val="04013D0E"/>
    <w:rsid w:val="040B189C"/>
    <w:rsid w:val="044B36AE"/>
    <w:rsid w:val="04642403"/>
    <w:rsid w:val="0479467E"/>
    <w:rsid w:val="04E15E6B"/>
    <w:rsid w:val="053539CF"/>
    <w:rsid w:val="062F07EF"/>
    <w:rsid w:val="075E02EB"/>
    <w:rsid w:val="08022EE5"/>
    <w:rsid w:val="08774C42"/>
    <w:rsid w:val="087C2354"/>
    <w:rsid w:val="08AA3361"/>
    <w:rsid w:val="08B35707"/>
    <w:rsid w:val="08D318A2"/>
    <w:rsid w:val="08D723C5"/>
    <w:rsid w:val="08F326B2"/>
    <w:rsid w:val="09B32689"/>
    <w:rsid w:val="09BF10B0"/>
    <w:rsid w:val="09C96293"/>
    <w:rsid w:val="09E43DB5"/>
    <w:rsid w:val="0A743FFB"/>
    <w:rsid w:val="0AA255F4"/>
    <w:rsid w:val="0AA349BF"/>
    <w:rsid w:val="0B094157"/>
    <w:rsid w:val="0BFE77CF"/>
    <w:rsid w:val="0C532174"/>
    <w:rsid w:val="0C540C92"/>
    <w:rsid w:val="0C5F1A54"/>
    <w:rsid w:val="0C850DE0"/>
    <w:rsid w:val="0CB200C5"/>
    <w:rsid w:val="0CE54064"/>
    <w:rsid w:val="0CF366ED"/>
    <w:rsid w:val="0D7101C9"/>
    <w:rsid w:val="0D870F11"/>
    <w:rsid w:val="0F414A49"/>
    <w:rsid w:val="0F5F6319"/>
    <w:rsid w:val="0F706100"/>
    <w:rsid w:val="0F821C15"/>
    <w:rsid w:val="0F9A326F"/>
    <w:rsid w:val="0FB21E9A"/>
    <w:rsid w:val="102D625B"/>
    <w:rsid w:val="10A02A15"/>
    <w:rsid w:val="10D802F8"/>
    <w:rsid w:val="10FA1C8B"/>
    <w:rsid w:val="1138564F"/>
    <w:rsid w:val="114535BD"/>
    <w:rsid w:val="11C155AF"/>
    <w:rsid w:val="11DB55C3"/>
    <w:rsid w:val="11DC229F"/>
    <w:rsid w:val="12BB5BD8"/>
    <w:rsid w:val="12E110C3"/>
    <w:rsid w:val="139A1AD4"/>
    <w:rsid w:val="13CE4A67"/>
    <w:rsid w:val="13DC1FB6"/>
    <w:rsid w:val="13F00BBF"/>
    <w:rsid w:val="14434483"/>
    <w:rsid w:val="14825CE5"/>
    <w:rsid w:val="14CD25DC"/>
    <w:rsid w:val="14D06576"/>
    <w:rsid w:val="14FC16F8"/>
    <w:rsid w:val="14FD01F5"/>
    <w:rsid w:val="15122000"/>
    <w:rsid w:val="1512210B"/>
    <w:rsid w:val="152760F7"/>
    <w:rsid w:val="152B3697"/>
    <w:rsid w:val="15476010"/>
    <w:rsid w:val="16236B45"/>
    <w:rsid w:val="1683791E"/>
    <w:rsid w:val="16D90A2F"/>
    <w:rsid w:val="16ED44DA"/>
    <w:rsid w:val="16FC64CC"/>
    <w:rsid w:val="17187690"/>
    <w:rsid w:val="1787156B"/>
    <w:rsid w:val="17FF3775"/>
    <w:rsid w:val="180C0990"/>
    <w:rsid w:val="18133DAD"/>
    <w:rsid w:val="18313ADF"/>
    <w:rsid w:val="183366E4"/>
    <w:rsid w:val="18733564"/>
    <w:rsid w:val="187C4654"/>
    <w:rsid w:val="18B7333C"/>
    <w:rsid w:val="193C5348"/>
    <w:rsid w:val="19462B05"/>
    <w:rsid w:val="19575FF0"/>
    <w:rsid w:val="19F459BE"/>
    <w:rsid w:val="1B212E8F"/>
    <w:rsid w:val="1B8A22F8"/>
    <w:rsid w:val="1C306863"/>
    <w:rsid w:val="1C404C21"/>
    <w:rsid w:val="1C644267"/>
    <w:rsid w:val="1C891335"/>
    <w:rsid w:val="1C9176B6"/>
    <w:rsid w:val="1CB81069"/>
    <w:rsid w:val="1CC04241"/>
    <w:rsid w:val="1CF9491F"/>
    <w:rsid w:val="1CFB49AC"/>
    <w:rsid w:val="1D9A36FD"/>
    <w:rsid w:val="1D9D258E"/>
    <w:rsid w:val="1DE06D8D"/>
    <w:rsid w:val="1E4B797B"/>
    <w:rsid w:val="1E772552"/>
    <w:rsid w:val="1E9D6337"/>
    <w:rsid w:val="1EBD3E36"/>
    <w:rsid w:val="1EC45DFE"/>
    <w:rsid w:val="1ED8098D"/>
    <w:rsid w:val="1F2108E2"/>
    <w:rsid w:val="1F2918C4"/>
    <w:rsid w:val="1F3D3902"/>
    <w:rsid w:val="1F3F789D"/>
    <w:rsid w:val="1FF10E9A"/>
    <w:rsid w:val="20084133"/>
    <w:rsid w:val="208D78A1"/>
    <w:rsid w:val="209C2837"/>
    <w:rsid w:val="20CB7412"/>
    <w:rsid w:val="20CE2C87"/>
    <w:rsid w:val="215C449A"/>
    <w:rsid w:val="21632D6C"/>
    <w:rsid w:val="21810580"/>
    <w:rsid w:val="21C877CC"/>
    <w:rsid w:val="23515DF1"/>
    <w:rsid w:val="23716593"/>
    <w:rsid w:val="23C83004"/>
    <w:rsid w:val="23DB0253"/>
    <w:rsid w:val="24390D5F"/>
    <w:rsid w:val="24C2363F"/>
    <w:rsid w:val="24CF4CFF"/>
    <w:rsid w:val="24E231A5"/>
    <w:rsid w:val="25605CBD"/>
    <w:rsid w:val="25874A9E"/>
    <w:rsid w:val="25D03C58"/>
    <w:rsid w:val="25D92BF1"/>
    <w:rsid w:val="25EB62D5"/>
    <w:rsid w:val="25FF1B34"/>
    <w:rsid w:val="264803D1"/>
    <w:rsid w:val="266F1ECA"/>
    <w:rsid w:val="26EA6341"/>
    <w:rsid w:val="27230D68"/>
    <w:rsid w:val="272C4BAB"/>
    <w:rsid w:val="275210CB"/>
    <w:rsid w:val="27FA0805"/>
    <w:rsid w:val="285C6DCA"/>
    <w:rsid w:val="29581C87"/>
    <w:rsid w:val="29DA44BB"/>
    <w:rsid w:val="2A043BBD"/>
    <w:rsid w:val="2A420D73"/>
    <w:rsid w:val="2AD93FA3"/>
    <w:rsid w:val="2AF855A7"/>
    <w:rsid w:val="2B4440C3"/>
    <w:rsid w:val="2C144BBC"/>
    <w:rsid w:val="2C3A1266"/>
    <w:rsid w:val="2C536973"/>
    <w:rsid w:val="2C636EDA"/>
    <w:rsid w:val="2D323189"/>
    <w:rsid w:val="2DA64439"/>
    <w:rsid w:val="2DCE4CD3"/>
    <w:rsid w:val="2DD01E1E"/>
    <w:rsid w:val="2DE25BF2"/>
    <w:rsid w:val="2E11085D"/>
    <w:rsid w:val="2EC86CD7"/>
    <w:rsid w:val="2ED06F67"/>
    <w:rsid w:val="2EEE5B4C"/>
    <w:rsid w:val="2EFA558F"/>
    <w:rsid w:val="2F13023F"/>
    <w:rsid w:val="2F5A43C3"/>
    <w:rsid w:val="2F5E3C7F"/>
    <w:rsid w:val="2F83662C"/>
    <w:rsid w:val="308E05D1"/>
    <w:rsid w:val="30E958BB"/>
    <w:rsid w:val="30FF4A39"/>
    <w:rsid w:val="315E5E5E"/>
    <w:rsid w:val="319B7AF6"/>
    <w:rsid w:val="319D704A"/>
    <w:rsid w:val="31A85A28"/>
    <w:rsid w:val="31FF65F3"/>
    <w:rsid w:val="32072E1B"/>
    <w:rsid w:val="322B1182"/>
    <w:rsid w:val="328916B1"/>
    <w:rsid w:val="32A75B13"/>
    <w:rsid w:val="32C64BB6"/>
    <w:rsid w:val="332D4379"/>
    <w:rsid w:val="333723D2"/>
    <w:rsid w:val="33D44600"/>
    <w:rsid w:val="3403497E"/>
    <w:rsid w:val="343432F1"/>
    <w:rsid w:val="34CE4903"/>
    <w:rsid w:val="34D3213E"/>
    <w:rsid w:val="350D601C"/>
    <w:rsid w:val="354174A9"/>
    <w:rsid w:val="35EF29CF"/>
    <w:rsid w:val="36997A13"/>
    <w:rsid w:val="36F316A0"/>
    <w:rsid w:val="37235A7B"/>
    <w:rsid w:val="372F6F43"/>
    <w:rsid w:val="373750A4"/>
    <w:rsid w:val="37550509"/>
    <w:rsid w:val="3756245A"/>
    <w:rsid w:val="3759490C"/>
    <w:rsid w:val="376143FD"/>
    <w:rsid w:val="38877B39"/>
    <w:rsid w:val="389A2654"/>
    <w:rsid w:val="3907624F"/>
    <w:rsid w:val="395104A1"/>
    <w:rsid w:val="39E5643B"/>
    <w:rsid w:val="3A39340F"/>
    <w:rsid w:val="3A5F127F"/>
    <w:rsid w:val="3A751E27"/>
    <w:rsid w:val="3ACB43D0"/>
    <w:rsid w:val="3B3935F3"/>
    <w:rsid w:val="3B482958"/>
    <w:rsid w:val="3B4863B5"/>
    <w:rsid w:val="3B783AC3"/>
    <w:rsid w:val="3BD004E3"/>
    <w:rsid w:val="3C485F06"/>
    <w:rsid w:val="3C514B1A"/>
    <w:rsid w:val="3C5E7CE5"/>
    <w:rsid w:val="3CFF3AAE"/>
    <w:rsid w:val="3D866124"/>
    <w:rsid w:val="3E10030E"/>
    <w:rsid w:val="3E537926"/>
    <w:rsid w:val="3EAC2F7C"/>
    <w:rsid w:val="3EE02022"/>
    <w:rsid w:val="3EFA5048"/>
    <w:rsid w:val="407F2EB0"/>
    <w:rsid w:val="409C33B7"/>
    <w:rsid w:val="40D870AE"/>
    <w:rsid w:val="41233E42"/>
    <w:rsid w:val="41461118"/>
    <w:rsid w:val="41473F10"/>
    <w:rsid w:val="41932532"/>
    <w:rsid w:val="419B0BD8"/>
    <w:rsid w:val="421D3C7F"/>
    <w:rsid w:val="425F2C44"/>
    <w:rsid w:val="42AE0712"/>
    <w:rsid w:val="43212C92"/>
    <w:rsid w:val="433504EC"/>
    <w:rsid w:val="43381FAF"/>
    <w:rsid w:val="43DB426A"/>
    <w:rsid w:val="44041293"/>
    <w:rsid w:val="44472BCC"/>
    <w:rsid w:val="44F27DA9"/>
    <w:rsid w:val="453B2F1D"/>
    <w:rsid w:val="456F1680"/>
    <w:rsid w:val="45D67D64"/>
    <w:rsid w:val="45E67EC7"/>
    <w:rsid w:val="465B639A"/>
    <w:rsid w:val="46C94CA2"/>
    <w:rsid w:val="46E57AC0"/>
    <w:rsid w:val="47022D7D"/>
    <w:rsid w:val="47102967"/>
    <w:rsid w:val="472B40E0"/>
    <w:rsid w:val="48825526"/>
    <w:rsid w:val="49064EC7"/>
    <w:rsid w:val="491A61EA"/>
    <w:rsid w:val="4A336E15"/>
    <w:rsid w:val="4A630C85"/>
    <w:rsid w:val="4A826C39"/>
    <w:rsid w:val="4A8670DD"/>
    <w:rsid w:val="4A8A4F3F"/>
    <w:rsid w:val="4AB13907"/>
    <w:rsid w:val="4BCD61D2"/>
    <w:rsid w:val="4C433C79"/>
    <w:rsid w:val="4C9952B8"/>
    <w:rsid w:val="4CD314A1"/>
    <w:rsid w:val="4D675D69"/>
    <w:rsid w:val="4D812130"/>
    <w:rsid w:val="4DE4431E"/>
    <w:rsid w:val="4E192EE4"/>
    <w:rsid w:val="4E8C5DAC"/>
    <w:rsid w:val="4ED47F17"/>
    <w:rsid w:val="4EE54456"/>
    <w:rsid w:val="4EFD4F1D"/>
    <w:rsid w:val="4F760C6D"/>
    <w:rsid w:val="500D047B"/>
    <w:rsid w:val="502A2B49"/>
    <w:rsid w:val="504D31EC"/>
    <w:rsid w:val="50B129D4"/>
    <w:rsid w:val="51051E45"/>
    <w:rsid w:val="51430D10"/>
    <w:rsid w:val="52554CD8"/>
    <w:rsid w:val="525B7A37"/>
    <w:rsid w:val="52860D64"/>
    <w:rsid w:val="53422BD9"/>
    <w:rsid w:val="54B95421"/>
    <w:rsid w:val="54F35804"/>
    <w:rsid w:val="550F04EE"/>
    <w:rsid w:val="56764C4B"/>
    <w:rsid w:val="571277BA"/>
    <w:rsid w:val="57594DFF"/>
    <w:rsid w:val="57E841D4"/>
    <w:rsid w:val="58001560"/>
    <w:rsid w:val="58257790"/>
    <w:rsid w:val="58B3345D"/>
    <w:rsid w:val="592A7AD3"/>
    <w:rsid w:val="59D041AD"/>
    <w:rsid w:val="59F86AC3"/>
    <w:rsid w:val="5A3D7F5A"/>
    <w:rsid w:val="5A692DC4"/>
    <w:rsid w:val="5B681E4A"/>
    <w:rsid w:val="5BB07857"/>
    <w:rsid w:val="5BD054F3"/>
    <w:rsid w:val="5C0F4EA5"/>
    <w:rsid w:val="5C10300E"/>
    <w:rsid w:val="5C145E6E"/>
    <w:rsid w:val="5C6418A2"/>
    <w:rsid w:val="5CB83980"/>
    <w:rsid w:val="5D8722A0"/>
    <w:rsid w:val="5DA6050C"/>
    <w:rsid w:val="5DEA21A7"/>
    <w:rsid w:val="5E082F75"/>
    <w:rsid w:val="5E800D5D"/>
    <w:rsid w:val="60906921"/>
    <w:rsid w:val="60BB5B92"/>
    <w:rsid w:val="60BE2C44"/>
    <w:rsid w:val="6194783C"/>
    <w:rsid w:val="61C60942"/>
    <w:rsid w:val="623163AB"/>
    <w:rsid w:val="623D5E73"/>
    <w:rsid w:val="625F47C5"/>
    <w:rsid w:val="62D57E37"/>
    <w:rsid w:val="630A076D"/>
    <w:rsid w:val="63EF530C"/>
    <w:rsid w:val="63FA773C"/>
    <w:rsid w:val="6413155D"/>
    <w:rsid w:val="64156DA2"/>
    <w:rsid w:val="64165E03"/>
    <w:rsid w:val="64BE6346"/>
    <w:rsid w:val="64E002F7"/>
    <w:rsid w:val="64ED11C3"/>
    <w:rsid w:val="651D342C"/>
    <w:rsid w:val="652069C5"/>
    <w:rsid w:val="654874A8"/>
    <w:rsid w:val="654C170B"/>
    <w:rsid w:val="65EA0CE4"/>
    <w:rsid w:val="65FB6FAE"/>
    <w:rsid w:val="66241E6F"/>
    <w:rsid w:val="66A4646F"/>
    <w:rsid w:val="66DB345F"/>
    <w:rsid w:val="67027F47"/>
    <w:rsid w:val="677A3DE6"/>
    <w:rsid w:val="677A7653"/>
    <w:rsid w:val="67B46E9D"/>
    <w:rsid w:val="67BC6D33"/>
    <w:rsid w:val="67C5639E"/>
    <w:rsid w:val="68090234"/>
    <w:rsid w:val="682D082C"/>
    <w:rsid w:val="684557B3"/>
    <w:rsid w:val="68620403"/>
    <w:rsid w:val="688223D6"/>
    <w:rsid w:val="691E10F2"/>
    <w:rsid w:val="69851B9E"/>
    <w:rsid w:val="69AC07FF"/>
    <w:rsid w:val="69B92479"/>
    <w:rsid w:val="69DC1418"/>
    <w:rsid w:val="6A611863"/>
    <w:rsid w:val="6AAA5652"/>
    <w:rsid w:val="6B411DD0"/>
    <w:rsid w:val="6B543CEF"/>
    <w:rsid w:val="6B86772B"/>
    <w:rsid w:val="6BA623D1"/>
    <w:rsid w:val="6BC24785"/>
    <w:rsid w:val="6C6E6E1B"/>
    <w:rsid w:val="6C70058B"/>
    <w:rsid w:val="6CB87393"/>
    <w:rsid w:val="6CDE0FB8"/>
    <w:rsid w:val="6CF37F5A"/>
    <w:rsid w:val="6D6235DF"/>
    <w:rsid w:val="6D8D0DA1"/>
    <w:rsid w:val="6DC74D79"/>
    <w:rsid w:val="6DE739AA"/>
    <w:rsid w:val="6DF83F53"/>
    <w:rsid w:val="6E0757AF"/>
    <w:rsid w:val="6E6C7C05"/>
    <w:rsid w:val="6E6D0864"/>
    <w:rsid w:val="6EF110B8"/>
    <w:rsid w:val="6F59718C"/>
    <w:rsid w:val="700874A1"/>
    <w:rsid w:val="70B64633"/>
    <w:rsid w:val="70E05800"/>
    <w:rsid w:val="711C6FAF"/>
    <w:rsid w:val="715D18A0"/>
    <w:rsid w:val="71805F00"/>
    <w:rsid w:val="71FB30C7"/>
    <w:rsid w:val="72264492"/>
    <w:rsid w:val="722B67CA"/>
    <w:rsid w:val="725D474F"/>
    <w:rsid w:val="726755B9"/>
    <w:rsid w:val="7289422C"/>
    <w:rsid w:val="732030F4"/>
    <w:rsid w:val="732813D9"/>
    <w:rsid w:val="737E5413"/>
    <w:rsid w:val="74111754"/>
    <w:rsid w:val="74845A4A"/>
    <w:rsid w:val="751D41E9"/>
    <w:rsid w:val="75DB1BA2"/>
    <w:rsid w:val="75EB0D5A"/>
    <w:rsid w:val="761926CA"/>
    <w:rsid w:val="76B03F21"/>
    <w:rsid w:val="77721026"/>
    <w:rsid w:val="77793112"/>
    <w:rsid w:val="78245EA6"/>
    <w:rsid w:val="78383202"/>
    <w:rsid w:val="79095F6B"/>
    <w:rsid w:val="79280D61"/>
    <w:rsid w:val="796E53E9"/>
    <w:rsid w:val="79764A4E"/>
    <w:rsid w:val="799B7171"/>
    <w:rsid w:val="79D97279"/>
    <w:rsid w:val="79EE1666"/>
    <w:rsid w:val="7A247FB3"/>
    <w:rsid w:val="7A363246"/>
    <w:rsid w:val="7A694471"/>
    <w:rsid w:val="7ABE6B0E"/>
    <w:rsid w:val="7AE17DA5"/>
    <w:rsid w:val="7B2D6E27"/>
    <w:rsid w:val="7B6F3D9E"/>
    <w:rsid w:val="7B841A29"/>
    <w:rsid w:val="7BA45C33"/>
    <w:rsid w:val="7BD155A1"/>
    <w:rsid w:val="7BEB0E7C"/>
    <w:rsid w:val="7BF32EFA"/>
    <w:rsid w:val="7DA708E0"/>
    <w:rsid w:val="7DD86068"/>
    <w:rsid w:val="7E6F4989"/>
    <w:rsid w:val="7E9F7BA7"/>
    <w:rsid w:val="7ED14F91"/>
    <w:rsid w:val="7F6B2D71"/>
    <w:rsid w:val="7FA21DFA"/>
    <w:rsid w:val="7FAC50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next w:val="1"/>
    <w:link w:val="7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127"/>
    <w:qFormat/>
    <w:uiPriority w:val="0"/>
    <w:pPr>
      <w:numPr>
        <w:ilvl w:val="1"/>
      </w:numPr>
      <w:pBdr>
        <w:top w:val="none" w:color="auto" w:sz="0" w:space="0"/>
      </w:pBdr>
      <w:spacing w:before="180"/>
      <w:outlineLvl w:val="1"/>
    </w:pPr>
    <w:rPr>
      <w:sz w:val="32"/>
    </w:rPr>
  </w:style>
  <w:style w:type="paragraph" w:styleId="4">
    <w:name w:val="heading 3"/>
    <w:basedOn w:val="3"/>
    <w:next w:val="1"/>
    <w:link w:val="128"/>
    <w:qFormat/>
    <w:uiPriority w:val="0"/>
    <w:pPr>
      <w:numPr>
        <w:ilvl w:val="2"/>
      </w:numPr>
      <w:spacing w:before="120"/>
      <w:outlineLvl w:val="2"/>
    </w:pPr>
    <w:rPr>
      <w:sz w:val="28"/>
    </w:rPr>
  </w:style>
  <w:style w:type="paragraph" w:styleId="5">
    <w:name w:val="heading 4"/>
    <w:basedOn w:val="4"/>
    <w:next w:val="1"/>
    <w:link w:val="129"/>
    <w:qFormat/>
    <w:uiPriority w:val="0"/>
    <w:pPr>
      <w:numPr>
        <w:ilvl w:val="3"/>
      </w:numPr>
      <w:outlineLvl w:val="3"/>
    </w:pPr>
    <w:rPr>
      <w:sz w:val="24"/>
    </w:rPr>
  </w:style>
  <w:style w:type="paragraph" w:styleId="6">
    <w:name w:val="heading 5"/>
    <w:basedOn w:val="5"/>
    <w:next w:val="1"/>
    <w:link w:val="130"/>
    <w:qFormat/>
    <w:uiPriority w:val="0"/>
    <w:pPr>
      <w:numPr>
        <w:ilvl w:val="4"/>
      </w:numPr>
      <w:outlineLvl w:val="4"/>
    </w:pPr>
    <w:rPr>
      <w:sz w:val="22"/>
    </w:rPr>
  </w:style>
  <w:style w:type="paragraph" w:styleId="7">
    <w:name w:val="heading 6"/>
    <w:basedOn w:val="8"/>
    <w:next w:val="1"/>
    <w:link w:val="131"/>
    <w:qFormat/>
    <w:uiPriority w:val="0"/>
    <w:pPr>
      <w:numPr>
        <w:ilvl w:val="5"/>
      </w:numPr>
      <w:outlineLvl w:val="5"/>
    </w:pPr>
  </w:style>
  <w:style w:type="paragraph" w:styleId="9">
    <w:name w:val="heading 7"/>
    <w:basedOn w:val="8"/>
    <w:next w:val="1"/>
    <w:link w:val="132"/>
    <w:qFormat/>
    <w:uiPriority w:val="0"/>
    <w:pPr>
      <w:numPr>
        <w:ilvl w:val="6"/>
      </w:numPr>
      <w:outlineLvl w:val="6"/>
    </w:pPr>
  </w:style>
  <w:style w:type="paragraph" w:styleId="10">
    <w:name w:val="heading 8"/>
    <w:basedOn w:val="2"/>
    <w:next w:val="1"/>
    <w:link w:val="133"/>
    <w:qFormat/>
    <w:uiPriority w:val="0"/>
    <w:pPr>
      <w:numPr>
        <w:ilvl w:val="7"/>
      </w:numPr>
      <w:outlineLvl w:val="7"/>
    </w:pPr>
  </w:style>
  <w:style w:type="paragraph" w:styleId="11">
    <w:name w:val="heading 9"/>
    <w:basedOn w:val="10"/>
    <w:next w:val="1"/>
    <w:link w:val="134"/>
    <w:qFormat/>
    <w:uiPriority w:val="0"/>
    <w:pPr>
      <w:numPr>
        <w:ilvl w:val="8"/>
      </w:numPr>
      <w:outlineLvl w:val="8"/>
    </w:pPr>
  </w:style>
  <w:style w:type="character" w:default="1" w:styleId="56">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22">
    <w:name w:val="List Number 2"/>
    <w:basedOn w:val="23"/>
    <w:qFormat/>
    <w:uiPriority w:val="0"/>
    <w:pPr>
      <w:numPr>
        <w:ilvl w:val="0"/>
        <w:numId w:val="2"/>
      </w:numPr>
    </w:pPr>
  </w:style>
  <w:style w:type="paragraph" w:styleId="23">
    <w:name w:val="List Number"/>
    <w:basedOn w:val="14"/>
    <w:qFormat/>
    <w:uiPriority w:val="0"/>
    <w:pPr>
      <w:numPr>
        <w:ilvl w:val="0"/>
        <w:numId w:val="3"/>
      </w:numPr>
    </w:pPr>
    <w:rPr>
      <w:lang w:eastAsia="ja-JP"/>
    </w:rPr>
  </w:style>
  <w:style w:type="paragraph" w:styleId="24">
    <w:name w:val="List Bullet 4"/>
    <w:basedOn w:val="25"/>
    <w:qFormat/>
    <w:uiPriority w:val="0"/>
    <w:pPr>
      <w:numPr>
        <w:numId w:val="4"/>
      </w:numPr>
    </w:pPr>
  </w:style>
  <w:style w:type="paragraph" w:styleId="25">
    <w:name w:val="List Bullet 3"/>
    <w:basedOn w:val="26"/>
    <w:qFormat/>
    <w:uiPriority w:val="0"/>
    <w:pPr>
      <w:numPr>
        <w:numId w:val="5"/>
      </w:numPr>
    </w:pPr>
  </w:style>
  <w:style w:type="paragraph" w:styleId="26">
    <w:name w:val="List Bullet 2"/>
    <w:basedOn w:val="27"/>
    <w:qFormat/>
    <w:uiPriority w:val="0"/>
    <w:pPr>
      <w:numPr>
        <w:ilvl w:val="0"/>
        <w:numId w:val="6"/>
      </w:numPr>
    </w:pPr>
  </w:style>
  <w:style w:type="paragraph" w:styleId="27">
    <w:name w:val="List Bullet"/>
    <w:basedOn w:val="14"/>
    <w:qFormat/>
    <w:uiPriority w:val="0"/>
    <w:pPr>
      <w:numPr>
        <w:ilvl w:val="0"/>
        <w:numId w:val="7"/>
      </w:numPr>
    </w:pPr>
    <w:rPr>
      <w:lang w:eastAsia="ja-JP"/>
    </w:rPr>
  </w:style>
  <w:style w:type="paragraph" w:styleId="28">
    <w:name w:val="caption"/>
    <w:basedOn w:val="1"/>
    <w:next w:val="1"/>
    <w:link w:val="184"/>
    <w:qFormat/>
    <w:uiPriority w:val="35"/>
    <w:pPr>
      <w:spacing w:before="120" w:after="120"/>
    </w:pPr>
    <w:rPr>
      <w:b/>
      <w:lang w:eastAsia="en-GB"/>
    </w:rPr>
  </w:style>
  <w:style w:type="paragraph" w:styleId="29">
    <w:name w:val="Document Map"/>
    <w:basedOn w:val="1"/>
    <w:link w:val="118"/>
    <w:qFormat/>
    <w:uiPriority w:val="0"/>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77"/>
    <w:qFormat/>
    <w:uiPriority w:val="0"/>
    <w:pPr>
      <w:spacing w:after="120"/>
    </w:pPr>
    <w:rPr>
      <w:rFonts w:ascii="Arial" w:hAnsi="Arial"/>
    </w:rPr>
  </w:style>
  <w:style w:type="paragraph" w:styleId="32">
    <w:name w:val="List Number 3"/>
    <w:basedOn w:val="22"/>
    <w:qFormat/>
    <w:uiPriority w:val="0"/>
    <w:pPr>
      <w:numPr>
        <w:numId w:val="8"/>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2"/>
    <w:qFormat/>
    <w:uiPriority w:val="99"/>
    <w:rPr>
      <w:rFonts w:ascii="Courier New" w:hAnsi="Courier New"/>
      <w:lang w:val="nb-NO"/>
    </w:rPr>
  </w:style>
  <w:style w:type="paragraph" w:styleId="35">
    <w:name w:val="List Bullet 5"/>
    <w:basedOn w:val="24"/>
    <w:qFormat/>
    <w:uiPriority w:val="0"/>
    <w:pPr>
      <w:numPr>
        <w:numId w:val="9"/>
      </w:numPr>
    </w:pPr>
  </w:style>
  <w:style w:type="paragraph" w:styleId="36">
    <w:name w:val="toc 8"/>
    <w:basedOn w:val="21"/>
    <w:next w:val="1"/>
    <w:qFormat/>
    <w:uiPriority w:val="39"/>
    <w:pPr>
      <w:spacing w:before="180"/>
      <w:ind w:left="2693" w:hanging="2693"/>
    </w:pPr>
    <w:rPr>
      <w:b/>
    </w:rPr>
  </w:style>
  <w:style w:type="paragraph" w:styleId="37">
    <w:name w:val="Balloon Text"/>
    <w:basedOn w:val="1"/>
    <w:link w:val="111"/>
    <w:qFormat/>
    <w:uiPriority w:val="0"/>
    <w:rPr>
      <w:rFonts w:ascii="Segoe UI" w:hAnsi="Segoe UI" w:cs="Segoe UI"/>
      <w:sz w:val="18"/>
      <w:szCs w:val="18"/>
    </w:rPr>
  </w:style>
  <w:style w:type="paragraph" w:styleId="38">
    <w:name w:val="footer"/>
    <w:basedOn w:val="39"/>
    <w:link w:val="124"/>
    <w:qFormat/>
    <w:uiPriority w:val="99"/>
    <w:pPr>
      <w:jc w:val="center"/>
    </w:pPr>
    <w:rPr>
      <w:i/>
    </w:rPr>
  </w:style>
  <w:style w:type="paragraph" w:styleId="39">
    <w:name w:val="header"/>
    <w:link w:val="123"/>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5"/>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6"/>
    <w:next w:val="1"/>
    <w:qFormat/>
    <w:uiPriority w:val="39"/>
    <w:pPr>
      <w:ind w:left="1418" w:hanging="1418"/>
    </w:pPr>
  </w:style>
  <w:style w:type="paragraph" w:styleId="46">
    <w:name w:val="Body Text 2"/>
    <w:basedOn w:val="1"/>
    <w:link w:val="192"/>
    <w:qFormat/>
    <w:uiPriority w:val="0"/>
    <w:pPr>
      <w:spacing w:line="259" w:lineRule="auto"/>
    </w:pPr>
    <w:rPr>
      <w:rFonts w:ascii="Times New Roman" w:hAnsi="Times New Roman" w:eastAsia="MS Mincho" w:cs="Times New Roman"/>
      <w:kern w:val="0"/>
      <w:sz w:val="24"/>
      <w:szCs w:val="20"/>
      <w:lang w:val="en-GB" w:eastAsia="en-US"/>
    </w:rPr>
  </w:style>
  <w:style w:type="paragraph" w:styleId="47">
    <w:name w:val="List Continue 2"/>
    <w:basedOn w:val="1"/>
    <w:qFormat/>
    <w:uiPriority w:val="0"/>
    <w:pPr>
      <w:spacing w:after="120"/>
      <w:ind w:left="566"/>
      <w:contextualSpacing/>
    </w:pPr>
    <w:rPr>
      <w:rFonts w:ascii="Arial" w:hAnsi="Arial"/>
    </w:rPr>
  </w:style>
  <w:style w:type="paragraph" w:styleId="48">
    <w:name w:val="Normal (Web)"/>
    <w:basedOn w:val="1"/>
    <w:unhideWhenUsed/>
    <w:qFormat/>
    <w:uiPriority w:val="99"/>
    <w:pPr>
      <w:spacing w:before="100" w:beforeAutospacing="1" w:after="100" w:afterAutospacing="1"/>
    </w:pPr>
    <w:rPr>
      <w:rFonts w:ascii="Times New Roman" w:hAnsi="Times New Roman" w:eastAsia="Yu Mincho" w:cs="Times New Roman"/>
      <w:sz w:val="24"/>
      <w:lang w:eastAsia="en-US"/>
    </w:rPr>
  </w:style>
  <w:style w:type="paragraph" w:styleId="49">
    <w:name w:val="index 1"/>
    <w:basedOn w:val="1"/>
    <w:next w:val="1"/>
    <w:qFormat/>
    <w:uiPriority w:val="0"/>
    <w:pPr>
      <w:keepLines/>
    </w:pPr>
  </w:style>
  <w:style w:type="paragraph" w:styleId="50">
    <w:name w:val="index 2"/>
    <w:basedOn w:val="49"/>
    <w:next w:val="1"/>
    <w:qFormat/>
    <w:uiPriority w:val="0"/>
    <w:pPr>
      <w:ind w:left="284"/>
    </w:pPr>
  </w:style>
  <w:style w:type="paragraph" w:styleId="51">
    <w:name w:val="Title"/>
    <w:basedOn w:val="1"/>
    <w:next w:val="1"/>
    <w:link w:val="200"/>
    <w:qFormat/>
    <w:uiPriority w:val="10"/>
    <w:pPr>
      <w:spacing w:before="240" w:after="60"/>
      <w:ind w:left="1701" w:hanging="1701"/>
      <w:outlineLvl w:val="0"/>
    </w:pPr>
    <w:rPr>
      <w:rFonts w:ascii="Arial" w:hAnsi="Arial" w:cs="Arial"/>
      <w:b/>
      <w:bCs/>
      <w:kern w:val="28"/>
      <w:sz w:val="20"/>
      <w:szCs w:val="20"/>
      <w:lang w:val="en-GB" w:eastAsia="en-US"/>
    </w:rPr>
  </w:style>
  <w:style w:type="paragraph" w:styleId="52">
    <w:name w:val="annotation subject"/>
    <w:basedOn w:val="30"/>
    <w:next w:val="30"/>
    <w:link w:val="113"/>
    <w:qFormat/>
    <w:uiPriority w:val="0"/>
    <w:rPr>
      <w:b/>
      <w:bCs/>
    </w:rPr>
  </w:style>
  <w:style w:type="table" w:styleId="54">
    <w:name w:val="Table Grid"/>
    <w:basedOn w:val="53"/>
    <w:qFormat/>
    <w:uiPriority w:val="5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5">
    <w:name w:val="Table Grid 1"/>
    <w:basedOn w:val="53"/>
    <w:qFormat/>
    <w:uiPriority w:val="0"/>
    <w:pPr>
      <w:spacing w:after="180"/>
    </w:pPr>
    <w:rPr>
      <w:rFonts w:eastAsia="Batang"/>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7">
    <w:name w:val="Strong"/>
    <w:qFormat/>
    <w:uiPriority w:val="22"/>
    <w:rPr>
      <w:b/>
      <w:bCs/>
    </w:rPr>
  </w:style>
  <w:style w:type="character" w:styleId="58">
    <w:name w:val="page number"/>
    <w:basedOn w:val="56"/>
    <w:qFormat/>
    <w:uiPriority w:val="0"/>
  </w:style>
  <w:style w:type="character" w:styleId="59">
    <w:name w:val="FollowedHyperlink"/>
    <w:unhideWhenUsed/>
    <w:qFormat/>
    <w:uiPriority w:val="0"/>
    <w:rPr>
      <w:color w:val="800080"/>
      <w:u w:val="single"/>
    </w:rPr>
  </w:style>
  <w:style w:type="character" w:styleId="60">
    <w:name w:val="Emphasis"/>
    <w:qFormat/>
    <w:uiPriority w:val="0"/>
    <w:rPr>
      <w:i/>
      <w:iCs/>
    </w:rPr>
  </w:style>
  <w:style w:type="character" w:styleId="61">
    <w:name w:val="Hyperlink"/>
    <w:qFormat/>
    <w:uiPriority w:val="99"/>
    <w:rPr>
      <w:color w:val="0000FF"/>
      <w:u w:val="single"/>
    </w:rPr>
  </w:style>
  <w:style w:type="character" w:styleId="62">
    <w:name w:val="HTML Code"/>
    <w:unhideWhenUsed/>
    <w:qFormat/>
    <w:uiPriority w:val="99"/>
    <w:rPr>
      <w:rFonts w:ascii="Courier New" w:hAnsi="Courier New" w:eastAsia="Times New Roman" w:cs="Courier New"/>
      <w:sz w:val="20"/>
      <w:szCs w:val="20"/>
    </w:rPr>
  </w:style>
  <w:style w:type="character" w:styleId="63">
    <w:name w:val="annotation reference"/>
    <w:qFormat/>
    <w:uiPriority w:val="0"/>
    <w:rPr>
      <w:sz w:val="16"/>
      <w:szCs w:val="16"/>
    </w:rPr>
  </w:style>
  <w:style w:type="character" w:styleId="64">
    <w:name w:val="footnote reference"/>
    <w:qFormat/>
    <w:uiPriority w:val="0"/>
    <w:rPr>
      <w:b/>
      <w:position w:val="6"/>
      <w:sz w:val="16"/>
    </w:rPr>
  </w:style>
  <w:style w:type="paragraph" w:customStyle="1" w:styleId="65">
    <w:name w:val="Figure"/>
    <w:basedOn w:val="1"/>
    <w:next w:val="28"/>
    <w:qFormat/>
    <w:uiPriority w:val="0"/>
    <w:pPr>
      <w:keepNext/>
      <w:keepLines/>
      <w:spacing w:before="180"/>
      <w:jc w:val="center"/>
    </w:pPr>
  </w:style>
  <w:style w:type="paragraph" w:customStyle="1" w:styleId="66">
    <w:name w:val="3GPP_Header"/>
    <w:basedOn w:val="31"/>
    <w:qFormat/>
    <w:uiPriority w:val="0"/>
    <w:pPr>
      <w:tabs>
        <w:tab w:val="left" w:pos="1701"/>
        <w:tab w:val="right" w:pos="9639"/>
      </w:tabs>
      <w:spacing w:after="240"/>
    </w:pPr>
    <w:rPr>
      <w:b/>
      <w:sz w:val="24"/>
    </w:rPr>
  </w:style>
  <w:style w:type="paragraph" w:customStyle="1" w:styleId="67">
    <w:name w:val="EQ"/>
    <w:basedOn w:val="1"/>
    <w:next w:val="1"/>
    <w:qFormat/>
    <w:uiPriority w:val="0"/>
    <w:pPr>
      <w:keepLines/>
      <w:tabs>
        <w:tab w:val="center" w:pos="4536"/>
        <w:tab w:val="right" w:pos="9072"/>
      </w:tabs>
    </w:pPr>
  </w:style>
  <w:style w:type="paragraph" w:customStyle="1" w:styleId="68">
    <w:name w:val="Editor's Note"/>
    <w:basedOn w:val="69"/>
    <w:link w:val="120"/>
    <w:qFormat/>
    <w:uiPriority w:val="0"/>
    <w:rPr>
      <w:color w:val="FF0000"/>
      <w:lang w:val="zh-CN"/>
    </w:rPr>
  </w:style>
  <w:style w:type="paragraph" w:customStyle="1" w:styleId="69">
    <w:name w:val="NO"/>
    <w:basedOn w:val="1"/>
    <w:link w:val="119"/>
    <w:qFormat/>
    <w:uiPriority w:val="0"/>
    <w:pPr>
      <w:keepLines/>
      <w:ind w:left="1135" w:hanging="851"/>
    </w:pPr>
  </w:style>
  <w:style w:type="paragraph" w:customStyle="1" w:styleId="70">
    <w:name w:val="Reference"/>
    <w:basedOn w:val="31"/>
    <w:qFormat/>
    <w:uiPriority w:val="0"/>
    <w:pPr>
      <w:numPr>
        <w:ilvl w:val="0"/>
        <w:numId w:val="10"/>
      </w:numPr>
    </w:pPr>
  </w:style>
  <w:style w:type="character" w:customStyle="1" w:styleId="71">
    <w:name w:val="标题 1 字符"/>
    <w:link w:val="2"/>
    <w:qFormat/>
    <w:uiPriority w:val="0"/>
    <w:rPr>
      <w:rFonts w:ascii="Arial" w:hAnsi="Arial"/>
      <w:sz w:val="36"/>
      <w:lang w:eastAsia="ja-JP"/>
    </w:rPr>
  </w:style>
  <w:style w:type="paragraph" w:customStyle="1" w:styleId="72">
    <w:name w:val="B1"/>
    <w:basedOn w:val="14"/>
    <w:link w:val="101"/>
    <w:qFormat/>
    <w:uiPriority w:val="0"/>
    <w:rPr>
      <w:rFonts w:ascii="Times New Roman" w:hAnsi="Times New Roman"/>
    </w:rPr>
  </w:style>
  <w:style w:type="paragraph" w:customStyle="1" w:styleId="73">
    <w:name w:val="B2"/>
    <w:basedOn w:val="13"/>
    <w:link w:val="102"/>
    <w:qFormat/>
    <w:uiPriority w:val="0"/>
    <w:rPr>
      <w:rFonts w:ascii="Times New Roman" w:hAnsi="Times New Roman"/>
    </w:rPr>
  </w:style>
  <w:style w:type="paragraph" w:customStyle="1" w:styleId="74">
    <w:name w:val="B3"/>
    <w:basedOn w:val="12"/>
    <w:link w:val="103"/>
    <w:qFormat/>
    <w:uiPriority w:val="0"/>
    <w:rPr>
      <w:rFonts w:ascii="Times New Roman" w:hAnsi="Times New Roman"/>
    </w:rPr>
  </w:style>
  <w:style w:type="paragraph" w:customStyle="1" w:styleId="75">
    <w:name w:val="B4"/>
    <w:basedOn w:val="43"/>
    <w:link w:val="104"/>
    <w:qFormat/>
    <w:uiPriority w:val="0"/>
    <w:rPr>
      <w:rFonts w:ascii="Times New Roman" w:hAnsi="Times New Roman"/>
    </w:rPr>
  </w:style>
  <w:style w:type="paragraph" w:customStyle="1" w:styleId="76">
    <w:name w:val="Proposal"/>
    <w:basedOn w:val="31"/>
    <w:qFormat/>
    <w:uiPriority w:val="0"/>
    <w:pPr>
      <w:numPr>
        <w:ilvl w:val="0"/>
        <w:numId w:val="11"/>
      </w:numPr>
      <w:tabs>
        <w:tab w:val="left" w:pos="720"/>
        <w:tab w:val="left" w:pos="1701"/>
        <w:tab w:val="clear" w:pos="1304"/>
      </w:tabs>
      <w:ind w:left="720" w:hanging="720"/>
    </w:pPr>
    <w:rPr>
      <w:b/>
      <w:bCs/>
    </w:rPr>
  </w:style>
  <w:style w:type="character" w:customStyle="1" w:styleId="77">
    <w:name w:val="正文文本 字符"/>
    <w:link w:val="31"/>
    <w:qFormat/>
    <w:uiPriority w:val="0"/>
    <w:rPr>
      <w:rFonts w:ascii="Arial" w:hAnsi="Arial"/>
      <w:lang w:eastAsia="zh-CN"/>
    </w:rPr>
  </w:style>
  <w:style w:type="paragraph" w:customStyle="1" w:styleId="78">
    <w:name w:val="B5"/>
    <w:basedOn w:val="42"/>
    <w:link w:val="105"/>
    <w:qFormat/>
    <w:uiPriority w:val="0"/>
    <w:rPr>
      <w:rFonts w:ascii="Times New Roman" w:hAnsi="Times New Roman"/>
    </w:rPr>
  </w:style>
  <w:style w:type="paragraph" w:customStyle="1" w:styleId="79">
    <w:name w:val="EX"/>
    <w:basedOn w:val="1"/>
    <w:link w:val="174"/>
    <w:qFormat/>
    <w:uiPriority w:val="0"/>
    <w:pPr>
      <w:keepLines/>
      <w:ind w:left="1702" w:hanging="1418"/>
    </w:pPr>
  </w:style>
  <w:style w:type="paragraph" w:customStyle="1" w:styleId="80">
    <w:name w:val="EW"/>
    <w:basedOn w:val="79"/>
    <w:qFormat/>
    <w:uiPriority w:val="0"/>
  </w:style>
  <w:style w:type="paragraph" w:customStyle="1" w:styleId="81">
    <w:name w:val="TAL"/>
    <w:basedOn w:val="1"/>
    <w:link w:val="143"/>
    <w:qFormat/>
    <w:uiPriority w:val="0"/>
    <w:pPr>
      <w:keepNext/>
      <w:keepLines/>
    </w:pPr>
    <w:rPr>
      <w:rFonts w:ascii="Arial" w:hAnsi="Arial"/>
      <w:sz w:val="18"/>
      <w:lang w:val="zh-CN"/>
    </w:rPr>
  </w:style>
  <w:style w:type="paragraph" w:customStyle="1" w:styleId="82">
    <w:name w:val="TAC"/>
    <w:basedOn w:val="81"/>
    <w:link w:val="164"/>
    <w:qFormat/>
    <w:uiPriority w:val="0"/>
    <w:pPr>
      <w:jc w:val="center"/>
    </w:pPr>
  </w:style>
  <w:style w:type="paragraph" w:customStyle="1" w:styleId="83">
    <w:name w:val="TAH"/>
    <w:basedOn w:val="82"/>
    <w:link w:val="144"/>
    <w:qFormat/>
    <w:uiPriority w:val="0"/>
    <w:rPr>
      <w:b/>
    </w:rPr>
  </w:style>
  <w:style w:type="paragraph" w:customStyle="1" w:styleId="84">
    <w:name w:val="TAN"/>
    <w:basedOn w:val="81"/>
    <w:qFormat/>
    <w:uiPriority w:val="0"/>
    <w:pPr>
      <w:ind w:left="851" w:hanging="851"/>
    </w:pPr>
  </w:style>
  <w:style w:type="paragraph" w:customStyle="1" w:styleId="85">
    <w:name w:val="TAR"/>
    <w:basedOn w:val="81"/>
    <w:qFormat/>
    <w:uiPriority w:val="0"/>
    <w:pPr>
      <w:jc w:val="right"/>
    </w:pPr>
  </w:style>
  <w:style w:type="paragraph" w:customStyle="1" w:styleId="86">
    <w:name w:val="TH"/>
    <w:basedOn w:val="1"/>
    <w:link w:val="145"/>
    <w:qFormat/>
    <w:uiPriority w:val="0"/>
    <w:pPr>
      <w:keepNext/>
      <w:keepLines/>
      <w:spacing w:before="60"/>
      <w:jc w:val="center"/>
    </w:pPr>
    <w:rPr>
      <w:rFonts w:ascii="Arial" w:hAnsi="Arial"/>
      <w:b/>
      <w:lang w:val="zh-CN"/>
    </w:rPr>
  </w:style>
  <w:style w:type="paragraph" w:customStyle="1" w:styleId="87">
    <w:name w:val="TF"/>
    <w:basedOn w:val="86"/>
    <w:link w:val="149"/>
    <w:qFormat/>
    <w:uiPriority w:val="0"/>
    <w:pPr>
      <w:keepNext w:val="0"/>
      <w:spacing w:before="0" w:after="240"/>
    </w:pPr>
  </w:style>
  <w:style w:type="paragraph" w:customStyle="1" w:styleId="88">
    <w:name w:val="TT"/>
    <w:basedOn w:val="2"/>
    <w:next w:val="1"/>
    <w:qFormat/>
    <w:uiPriority w:val="0"/>
    <w:pPr>
      <w:outlineLvl w:val="9"/>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character" w:customStyle="1" w:styleId="93">
    <w:name w:val="ZGSM"/>
    <w:qFormat/>
    <w:uiPriority w:val="0"/>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96">
    <w:name w:val="ZTD"/>
    <w:basedOn w:val="90"/>
    <w:qFormat/>
    <w:uiPriority w:val="0"/>
    <w:pPr>
      <w:framePr w:hRule="auto" w:y="852"/>
    </w:pPr>
    <w:rPr>
      <w:i w:val="0"/>
      <w:sz w:val="40"/>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98">
    <w:name w:val="ZV"/>
    <w:basedOn w:val="97"/>
    <w:qFormat/>
    <w:uiPriority w:val="0"/>
    <w:pPr>
      <w:framePr w:y="16161"/>
    </w:pPr>
  </w:style>
  <w:style w:type="paragraph" w:customStyle="1" w:styleId="99">
    <w:name w:val="FP"/>
    <w:basedOn w:val="1"/>
    <w:qFormat/>
    <w:uiPriority w:val="0"/>
  </w:style>
  <w:style w:type="paragraph" w:customStyle="1" w:styleId="100">
    <w:name w:val="Observation"/>
    <w:basedOn w:val="76"/>
    <w:qFormat/>
    <w:uiPriority w:val="0"/>
    <w:pPr>
      <w:numPr>
        <w:ilvl w:val="0"/>
        <w:numId w:val="12"/>
      </w:numPr>
      <w:ind w:left="1701" w:hanging="1701"/>
    </w:pPr>
    <w:rPr>
      <w:lang w:eastAsia="ja-JP"/>
    </w:rPr>
  </w:style>
  <w:style w:type="character" w:customStyle="1" w:styleId="101">
    <w:name w:val="B1 Char1"/>
    <w:link w:val="72"/>
    <w:qFormat/>
    <w:uiPriority w:val="0"/>
    <w:rPr>
      <w:rFonts w:ascii="Times New Roman" w:hAnsi="Times New Roman"/>
      <w:lang w:eastAsia="zh-CN"/>
    </w:rPr>
  </w:style>
  <w:style w:type="character" w:customStyle="1" w:styleId="102">
    <w:name w:val="B2 Char"/>
    <w:link w:val="73"/>
    <w:qFormat/>
    <w:uiPriority w:val="0"/>
    <w:rPr>
      <w:rFonts w:ascii="Times New Roman" w:hAnsi="Times New Roman"/>
      <w:lang w:eastAsia="ja-JP"/>
    </w:rPr>
  </w:style>
  <w:style w:type="character" w:customStyle="1" w:styleId="103">
    <w:name w:val="B3 Char2"/>
    <w:link w:val="74"/>
    <w:qFormat/>
    <w:uiPriority w:val="0"/>
    <w:rPr>
      <w:rFonts w:ascii="Times New Roman" w:hAnsi="Times New Roman"/>
      <w:lang w:eastAsia="ja-JP"/>
    </w:rPr>
  </w:style>
  <w:style w:type="character" w:customStyle="1" w:styleId="104">
    <w:name w:val="B4 Char"/>
    <w:link w:val="75"/>
    <w:qFormat/>
    <w:uiPriority w:val="0"/>
    <w:rPr>
      <w:rFonts w:ascii="Times New Roman" w:hAnsi="Times New Roman"/>
      <w:lang w:eastAsia="ja-JP"/>
    </w:rPr>
  </w:style>
  <w:style w:type="character" w:customStyle="1" w:styleId="105">
    <w:name w:val="B5 Char"/>
    <w:link w:val="78"/>
    <w:qFormat/>
    <w:uiPriority w:val="0"/>
    <w:rPr>
      <w:rFonts w:ascii="Times New Roman" w:hAnsi="Times New Roman"/>
      <w:lang w:eastAsia="ja-JP"/>
    </w:rPr>
  </w:style>
  <w:style w:type="paragraph" w:customStyle="1" w:styleId="106">
    <w:name w:val="B6"/>
    <w:basedOn w:val="78"/>
    <w:link w:val="107"/>
    <w:qFormat/>
    <w:uiPriority w:val="0"/>
    <w:pPr>
      <w:ind w:left="1985"/>
    </w:pPr>
  </w:style>
  <w:style w:type="character" w:customStyle="1" w:styleId="107">
    <w:name w:val="B6 Char"/>
    <w:link w:val="106"/>
    <w:qFormat/>
    <w:uiPriority w:val="0"/>
    <w:rPr>
      <w:rFonts w:ascii="Times New Roman" w:hAnsi="Times New Roman"/>
      <w:lang w:eastAsia="ja-JP"/>
    </w:rPr>
  </w:style>
  <w:style w:type="paragraph" w:customStyle="1" w:styleId="108">
    <w:name w:val="B7"/>
    <w:basedOn w:val="106"/>
    <w:link w:val="109"/>
    <w:qFormat/>
    <w:uiPriority w:val="0"/>
    <w:pPr>
      <w:ind w:left="2269"/>
    </w:pPr>
  </w:style>
  <w:style w:type="character" w:customStyle="1" w:styleId="109">
    <w:name w:val="B7 Char"/>
    <w:basedOn w:val="107"/>
    <w:link w:val="108"/>
    <w:qFormat/>
    <w:uiPriority w:val="0"/>
    <w:rPr>
      <w:rFonts w:ascii="Times New Roman" w:hAnsi="Times New Roman"/>
      <w:lang w:eastAsia="ja-JP"/>
    </w:rPr>
  </w:style>
  <w:style w:type="paragraph" w:customStyle="1" w:styleId="110">
    <w:name w:val="B8"/>
    <w:basedOn w:val="108"/>
    <w:link w:val="194"/>
    <w:qFormat/>
    <w:uiPriority w:val="0"/>
    <w:pPr>
      <w:ind w:left="2552"/>
    </w:pPr>
  </w:style>
  <w:style w:type="character" w:customStyle="1" w:styleId="111">
    <w:name w:val="批注框文本 字符"/>
    <w:link w:val="37"/>
    <w:qFormat/>
    <w:uiPriority w:val="0"/>
    <w:rPr>
      <w:rFonts w:ascii="Segoe UI" w:hAnsi="Segoe UI" w:cs="Segoe UI"/>
      <w:sz w:val="18"/>
      <w:szCs w:val="18"/>
      <w:lang w:eastAsia="ja-JP"/>
    </w:rPr>
  </w:style>
  <w:style w:type="character" w:customStyle="1" w:styleId="112">
    <w:name w:val="批注文字 字符"/>
    <w:link w:val="30"/>
    <w:qFormat/>
    <w:uiPriority w:val="99"/>
    <w:rPr>
      <w:rFonts w:ascii="Times New Roman" w:hAnsi="Times New Roman"/>
      <w:lang w:eastAsia="ja-JP"/>
    </w:rPr>
  </w:style>
  <w:style w:type="character" w:customStyle="1" w:styleId="113">
    <w:name w:val="批注主题 字符"/>
    <w:link w:val="52"/>
    <w:qFormat/>
    <w:uiPriority w:val="0"/>
    <w:rPr>
      <w:rFonts w:ascii="Times New Roman" w:hAnsi="Times New Roman"/>
      <w:b/>
      <w:bCs/>
      <w:lang w:eastAsia="ja-JP"/>
    </w:rPr>
  </w:style>
  <w:style w:type="paragraph" w:customStyle="1" w:styleId="114">
    <w:name w:val="CR Cover Page"/>
    <w:link w:val="115"/>
    <w:qFormat/>
    <w:uiPriority w:val="0"/>
    <w:pPr>
      <w:spacing w:after="120"/>
    </w:pPr>
    <w:rPr>
      <w:rFonts w:ascii="Arial" w:hAnsi="Arial" w:cs="Times New Roman" w:eastAsiaTheme="minorEastAsia"/>
      <w:lang w:val="en-GB" w:eastAsia="ko-KR" w:bidi="ar-SA"/>
    </w:rPr>
  </w:style>
  <w:style w:type="character" w:customStyle="1" w:styleId="115">
    <w:name w:val="CR Cover Page Zchn"/>
    <w:link w:val="114"/>
    <w:qFormat/>
    <w:uiPriority w:val="0"/>
    <w:rPr>
      <w:rFonts w:ascii="Arial" w:hAnsi="Arial"/>
      <w:lang w:eastAsia="ko-KR"/>
    </w:rPr>
  </w:style>
  <w:style w:type="paragraph" w:customStyle="1" w:styleId="116">
    <w:name w:val="Doc-text2"/>
    <w:basedOn w:val="1"/>
    <w:link w:val="117"/>
    <w:qFormat/>
    <w:uiPriority w:val="0"/>
    <w:pPr>
      <w:tabs>
        <w:tab w:val="left" w:pos="1622"/>
      </w:tabs>
      <w:ind w:left="1622" w:hanging="363"/>
    </w:pPr>
    <w:rPr>
      <w:rFonts w:ascii="Arial" w:hAnsi="Arial" w:eastAsia="MS Mincho"/>
      <w:lang w:val="zh-CN"/>
    </w:rPr>
  </w:style>
  <w:style w:type="character" w:customStyle="1" w:styleId="117">
    <w:name w:val="Doc-text2 Char"/>
    <w:link w:val="116"/>
    <w:qFormat/>
    <w:locked/>
    <w:uiPriority w:val="0"/>
    <w:rPr>
      <w:rFonts w:ascii="Arial" w:hAnsi="Arial" w:eastAsia="MS Mincho"/>
      <w:szCs w:val="24"/>
      <w:lang w:val="zh-CN" w:eastAsia="zh-CN"/>
    </w:rPr>
  </w:style>
  <w:style w:type="character" w:customStyle="1" w:styleId="118">
    <w:name w:val="文档结构图 字符"/>
    <w:link w:val="29"/>
    <w:qFormat/>
    <w:uiPriority w:val="0"/>
    <w:rPr>
      <w:rFonts w:ascii="Tahoma" w:hAnsi="Tahoma" w:cs="Tahoma"/>
      <w:shd w:val="clear" w:color="auto" w:fill="000080"/>
      <w:lang w:eastAsia="ja-JP"/>
    </w:rPr>
  </w:style>
  <w:style w:type="character" w:customStyle="1" w:styleId="119">
    <w:name w:val="NO Char"/>
    <w:link w:val="69"/>
    <w:qFormat/>
    <w:uiPriority w:val="0"/>
    <w:rPr>
      <w:rFonts w:ascii="Times New Roman" w:hAnsi="Times New Roman"/>
      <w:lang w:eastAsia="ja-JP"/>
    </w:rPr>
  </w:style>
  <w:style w:type="character" w:customStyle="1" w:styleId="120">
    <w:name w:val="Editor's Note Char"/>
    <w:link w:val="68"/>
    <w:qFormat/>
    <w:uiPriority w:val="0"/>
    <w:rPr>
      <w:rFonts w:ascii="Times New Roman" w:hAnsi="Times New Roman"/>
      <w:color w:val="FF0000"/>
      <w:lang w:val="zh-CN" w:eastAsia="zh-CN"/>
    </w:rPr>
  </w:style>
  <w:style w:type="paragraph" w:customStyle="1" w:styleId="121">
    <w:name w:val="EmailDiscussion"/>
    <w:basedOn w:val="1"/>
    <w:next w:val="1"/>
    <w:qFormat/>
    <w:uiPriority w:val="0"/>
    <w:pPr>
      <w:numPr>
        <w:ilvl w:val="0"/>
        <w:numId w:val="13"/>
      </w:numPr>
      <w:spacing w:before="40"/>
    </w:pPr>
    <w:rPr>
      <w:rFonts w:ascii="Arial" w:hAnsi="Arial" w:eastAsia="MS Mincho"/>
      <w:b/>
      <w:lang w:eastAsia="en-GB"/>
    </w:rPr>
  </w:style>
  <w:style w:type="paragraph" w:customStyle="1" w:styleId="122">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3">
    <w:name w:val="页眉 字符"/>
    <w:link w:val="39"/>
    <w:qFormat/>
    <w:uiPriority w:val="0"/>
    <w:rPr>
      <w:rFonts w:ascii="Arial" w:hAnsi="Arial"/>
      <w:b/>
      <w:sz w:val="18"/>
      <w:lang w:eastAsia="ja-JP"/>
    </w:rPr>
  </w:style>
  <w:style w:type="character" w:customStyle="1" w:styleId="124">
    <w:name w:val="页脚 字符"/>
    <w:link w:val="38"/>
    <w:qFormat/>
    <w:uiPriority w:val="99"/>
    <w:rPr>
      <w:rFonts w:ascii="Arial" w:hAnsi="Arial"/>
      <w:b/>
      <w:i/>
      <w:sz w:val="18"/>
      <w:lang w:eastAsia="ja-JP"/>
    </w:rPr>
  </w:style>
  <w:style w:type="character" w:customStyle="1" w:styleId="125">
    <w:name w:val="脚注文本 字符"/>
    <w:link w:val="41"/>
    <w:qFormat/>
    <w:uiPriority w:val="0"/>
    <w:rPr>
      <w:rFonts w:ascii="Times New Roman" w:hAnsi="Times New Roman"/>
      <w:sz w:val="16"/>
      <w:lang w:eastAsia="ja-JP"/>
    </w:rPr>
  </w:style>
  <w:style w:type="paragraph" w:customStyle="1" w:styleId="126">
    <w:name w:val="Guidance"/>
    <w:basedOn w:val="1"/>
    <w:qFormat/>
    <w:uiPriority w:val="0"/>
    <w:rPr>
      <w:i/>
      <w:color w:val="0000FF"/>
    </w:rPr>
  </w:style>
  <w:style w:type="character" w:customStyle="1" w:styleId="127">
    <w:name w:val="标题 2 字符"/>
    <w:link w:val="3"/>
    <w:qFormat/>
    <w:uiPriority w:val="0"/>
    <w:rPr>
      <w:rFonts w:ascii="Arial" w:hAnsi="Arial"/>
      <w:sz w:val="32"/>
      <w:lang w:eastAsia="ja-JP"/>
    </w:rPr>
  </w:style>
  <w:style w:type="character" w:customStyle="1" w:styleId="128">
    <w:name w:val="标题 3 字符"/>
    <w:link w:val="4"/>
    <w:qFormat/>
    <w:uiPriority w:val="0"/>
    <w:rPr>
      <w:rFonts w:ascii="Arial" w:hAnsi="Arial"/>
      <w:sz w:val="28"/>
      <w:lang w:eastAsia="ja-JP"/>
    </w:rPr>
  </w:style>
  <w:style w:type="character" w:customStyle="1" w:styleId="129">
    <w:name w:val="标题 4 字符"/>
    <w:link w:val="5"/>
    <w:qFormat/>
    <w:uiPriority w:val="0"/>
    <w:rPr>
      <w:rFonts w:ascii="Arial" w:hAnsi="Arial"/>
      <w:sz w:val="24"/>
      <w:lang w:eastAsia="ja-JP"/>
    </w:rPr>
  </w:style>
  <w:style w:type="character" w:customStyle="1" w:styleId="130">
    <w:name w:val="标题 5 字符"/>
    <w:link w:val="6"/>
    <w:qFormat/>
    <w:uiPriority w:val="0"/>
    <w:rPr>
      <w:rFonts w:ascii="Arial" w:hAnsi="Arial"/>
      <w:sz w:val="22"/>
      <w:lang w:eastAsia="ja-JP"/>
    </w:rPr>
  </w:style>
  <w:style w:type="character" w:customStyle="1" w:styleId="131">
    <w:name w:val="标题 6 字符"/>
    <w:link w:val="7"/>
    <w:qFormat/>
    <w:uiPriority w:val="0"/>
    <w:rPr>
      <w:rFonts w:ascii="Arial" w:hAnsi="Arial"/>
      <w:lang w:eastAsia="ja-JP"/>
    </w:rPr>
  </w:style>
  <w:style w:type="character" w:customStyle="1" w:styleId="132">
    <w:name w:val="标题 7 字符"/>
    <w:link w:val="9"/>
    <w:qFormat/>
    <w:uiPriority w:val="0"/>
    <w:rPr>
      <w:rFonts w:ascii="Arial" w:hAnsi="Arial"/>
      <w:lang w:eastAsia="ja-JP"/>
    </w:rPr>
  </w:style>
  <w:style w:type="character" w:customStyle="1" w:styleId="133">
    <w:name w:val="标题 8 字符"/>
    <w:link w:val="10"/>
    <w:qFormat/>
    <w:uiPriority w:val="0"/>
    <w:rPr>
      <w:rFonts w:ascii="Arial" w:hAnsi="Arial"/>
      <w:sz w:val="36"/>
      <w:lang w:eastAsia="ja-JP"/>
    </w:rPr>
  </w:style>
  <w:style w:type="character" w:customStyle="1" w:styleId="134">
    <w:name w:val="标题 9 字符"/>
    <w:link w:val="11"/>
    <w:qFormat/>
    <w:uiPriority w:val="0"/>
    <w:rPr>
      <w:rFonts w:ascii="Arial" w:hAnsi="Arial"/>
      <w:sz w:val="36"/>
      <w:lang w:eastAsia="ja-JP"/>
    </w:rPr>
  </w:style>
  <w:style w:type="paragraph" w:customStyle="1" w:styleId="135">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styleId="136">
    <w:name w:val="List Paragraph"/>
    <w:basedOn w:val="1"/>
    <w:link w:val="137"/>
    <w:qFormat/>
    <w:uiPriority w:val="34"/>
    <w:pPr>
      <w:ind w:left="720"/>
    </w:pPr>
    <w:rPr>
      <w:rFonts w:ascii="Calibri" w:hAnsi="Calibri" w:eastAsia="Calibri"/>
      <w:lang w:val="zh-CN"/>
    </w:rPr>
  </w:style>
  <w:style w:type="character" w:customStyle="1" w:styleId="137">
    <w:name w:val="列表段落 字符"/>
    <w:link w:val="136"/>
    <w:qFormat/>
    <w:locked/>
    <w:uiPriority w:val="34"/>
    <w:rPr>
      <w:rFonts w:ascii="Calibri" w:hAnsi="Calibri" w:eastAsia="Calibri"/>
      <w:sz w:val="22"/>
      <w:szCs w:val="22"/>
      <w:lang w:val="zh-CN" w:eastAsia="en-US"/>
    </w:rPr>
  </w:style>
  <w:style w:type="paragraph" w:customStyle="1" w:styleId="138">
    <w:name w:val="NF"/>
    <w:basedOn w:val="69"/>
    <w:qFormat/>
    <w:uiPriority w:val="0"/>
    <w:pPr>
      <w:keepNext/>
    </w:pPr>
    <w:rPr>
      <w:rFonts w:ascii="Arial" w:hAnsi="Arial"/>
      <w:sz w:val="18"/>
    </w:rPr>
  </w:style>
  <w:style w:type="paragraph" w:customStyle="1" w:styleId="139">
    <w:name w:val="NW"/>
    <w:basedOn w:val="69"/>
    <w:qFormat/>
    <w:uiPriority w:val="0"/>
  </w:style>
  <w:style w:type="paragraph" w:customStyle="1" w:styleId="140">
    <w:name w:val="PL"/>
    <w:link w:val="14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41">
    <w:name w:val="PL Char"/>
    <w:link w:val="140"/>
    <w:qFormat/>
    <w:uiPriority w:val="0"/>
    <w:rPr>
      <w:rFonts w:ascii="Courier New" w:hAnsi="Courier New" w:eastAsia="Batang"/>
      <w:sz w:val="16"/>
      <w:shd w:val="clear" w:color="auto" w:fill="E6E6E6"/>
      <w:lang w:eastAsia="sv-SE"/>
    </w:rPr>
  </w:style>
  <w:style w:type="character" w:customStyle="1" w:styleId="142">
    <w:name w:val="纯文本 字符"/>
    <w:link w:val="34"/>
    <w:qFormat/>
    <w:uiPriority w:val="99"/>
    <w:rPr>
      <w:rFonts w:ascii="Courier New" w:hAnsi="Courier New"/>
      <w:lang w:val="nb-NO" w:eastAsia="ja-JP"/>
    </w:rPr>
  </w:style>
  <w:style w:type="character" w:customStyle="1" w:styleId="143">
    <w:name w:val="TAL Car"/>
    <w:link w:val="81"/>
    <w:qFormat/>
    <w:uiPriority w:val="0"/>
    <w:rPr>
      <w:rFonts w:ascii="Arial" w:hAnsi="Arial"/>
      <w:sz w:val="18"/>
      <w:lang w:val="zh-CN" w:eastAsia="zh-CN"/>
    </w:rPr>
  </w:style>
  <w:style w:type="character" w:customStyle="1" w:styleId="144">
    <w:name w:val="TAH Car"/>
    <w:link w:val="83"/>
    <w:qFormat/>
    <w:locked/>
    <w:uiPriority w:val="0"/>
    <w:rPr>
      <w:rFonts w:ascii="Arial" w:hAnsi="Arial"/>
      <w:b/>
      <w:sz w:val="18"/>
      <w:lang w:val="zh-CN" w:eastAsia="zh-CN"/>
    </w:rPr>
  </w:style>
  <w:style w:type="character" w:customStyle="1" w:styleId="145">
    <w:name w:val="TH Char"/>
    <w:link w:val="86"/>
    <w:qFormat/>
    <w:uiPriority w:val="0"/>
    <w:rPr>
      <w:rFonts w:ascii="Arial" w:hAnsi="Arial"/>
      <w:b/>
      <w:lang w:val="zh-CN" w:eastAsia="zh-CN"/>
    </w:rPr>
  </w:style>
  <w:style w:type="paragraph" w:customStyle="1" w:styleId="146">
    <w:name w:val="TAJ"/>
    <w:basedOn w:val="86"/>
    <w:qFormat/>
    <w:uiPriority w:val="0"/>
  </w:style>
  <w:style w:type="paragraph" w:customStyle="1" w:styleId="147">
    <w:name w:val="TAL Char Char"/>
    <w:basedOn w:val="1"/>
    <w:link w:val="148"/>
    <w:qFormat/>
    <w:uiPriority w:val="0"/>
    <w:pPr>
      <w:keepNext/>
      <w:keepLines/>
    </w:pPr>
    <w:rPr>
      <w:rFonts w:ascii="Arial" w:hAnsi="Arial" w:eastAsia="Malgun Gothic"/>
      <w:sz w:val="18"/>
      <w:lang w:val="zh-CN"/>
    </w:rPr>
  </w:style>
  <w:style w:type="character" w:customStyle="1" w:styleId="148">
    <w:name w:val="TAL Char Char Char"/>
    <w:link w:val="147"/>
    <w:qFormat/>
    <w:uiPriority w:val="0"/>
    <w:rPr>
      <w:rFonts w:ascii="Arial" w:hAnsi="Arial" w:eastAsia="Malgun Gothic"/>
      <w:sz w:val="18"/>
      <w:lang w:val="zh-CN" w:eastAsia="zh-CN"/>
    </w:rPr>
  </w:style>
  <w:style w:type="character" w:customStyle="1" w:styleId="149">
    <w:name w:val="TF Char"/>
    <w:link w:val="87"/>
    <w:qFormat/>
    <w:uiPriority w:val="0"/>
    <w:rPr>
      <w:rFonts w:ascii="Arial" w:hAnsi="Arial"/>
      <w:b/>
      <w:lang w:val="zh-CN" w:eastAsia="zh-CN"/>
    </w:rPr>
  </w:style>
  <w:style w:type="character" w:customStyle="1" w:styleId="150">
    <w:name w:val="未处理的提及1"/>
    <w:basedOn w:val="56"/>
    <w:semiHidden/>
    <w:unhideWhenUsed/>
    <w:qFormat/>
    <w:uiPriority w:val="99"/>
    <w:rPr>
      <w:color w:val="808080"/>
      <w:shd w:val="clear" w:color="auto" w:fill="E6E6E6"/>
    </w:rPr>
  </w:style>
  <w:style w:type="paragraph" w:customStyle="1" w:styleId="151">
    <w:name w:val="IvD bodytext"/>
    <w:basedOn w:val="31"/>
    <w:link w:val="152"/>
    <w:qFormat/>
    <w:uiPriority w:val="0"/>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152">
    <w:name w:val="IvD bodytext Char"/>
    <w:basedOn w:val="56"/>
    <w:link w:val="151"/>
    <w:qFormat/>
    <w:uiPriority w:val="0"/>
    <w:rPr>
      <w:rFonts w:ascii="Arial" w:hAnsi="Arial"/>
      <w:spacing w:val="2"/>
      <w:lang w:val="en-US" w:eastAsia="en-US"/>
    </w:rPr>
  </w:style>
  <w:style w:type="paragraph" w:customStyle="1" w:styleId="153">
    <w:name w:val="Agreement"/>
    <w:basedOn w:val="1"/>
    <w:next w:val="116"/>
    <w:qFormat/>
    <w:uiPriority w:val="99"/>
    <w:pPr>
      <w:numPr>
        <w:ilvl w:val="0"/>
        <w:numId w:val="14"/>
      </w:numPr>
      <w:tabs>
        <w:tab w:val="left" w:pos="360"/>
      </w:tabs>
      <w:spacing w:before="60"/>
    </w:pPr>
    <w:rPr>
      <w:rFonts w:ascii="Arial" w:hAnsi="Arial" w:eastAsia="MS Mincho" w:cs="Times New Roman"/>
      <w:b/>
      <w:sz w:val="20"/>
      <w:lang w:eastAsia="en-GB"/>
    </w:rPr>
  </w:style>
  <w:style w:type="paragraph" w:customStyle="1" w:styleId="154">
    <w:name w:val="EmailDiscussion2"/>
    <w:basedOn w:val="116"/>
    <w:qFormat/>
    <w:uiPriority w:val="0"/>
    <w:rPr>
      <w:rFonts w:cs="Times New Roman"/>
      <w:sz w:val="20"/>
      <w:lang w:val="en-GB" w:eastAsia="en-GB"/>
    </w:rPr>
  </w:style>
  <w:style w:type="character" w:customStyle="1" w:styleId="155">
    <w:name w:val="Comments Char"/>
    <w:basedOn w:val="56"/>
    <w:link w:val="156"/>
    <w:qFormat/>
    <w:locked/>
    <w:uiPriority w:val="0"/>
    <w:rPr>
      <w:rFonts w:ascii="Arial" w:hAnsi="Arial" w:cs="Arial"/>
      <w:i/>
      <w:iCs/>
    </w:rPr>
  </w:style>
  <w:style w:type="paragraph" w:customStyle="1" w:styleId="156">
    <w:name w:val="Comments"/>
    <w:basedOn w:val="1"/>
    <w:link w:val="155"/>
    <w:qFormat/>
    <w:uiPriority w:val="0"/>
    <w:pPr>
      <w:spacing w:before="40"/>
    </w:pPr>
    <w:rPr>
      <w:rFonts w:ascii="Arial" w:hAnsi="Arial" w:cs="Arial"/>
      <w:i/>
      <w:iCs/>
      <w:sz w:val="20"/>
      <w:szCs w:val="20"/>
      <w:lang w:val="en-GB" w:eastAsia="en-GB"/>
    </w:rPr>
  </w:style>
  <w:style w:type="character" w:customStyle="1" w:styleId="157">
    <w:name w:val="B1 Char"/>
    <w:qFormat/>
    <w:locked/>
    <w:uiPriority w:val="0"/>
    <w:rPr>
      <w:rFonts w:ascii="Times New Roman" w:hAnsi="Times New Roman" w:eastAsia="等线" w:cs="Times New Roman"/>
      <w:color w:val="000000"/>
      <w:kern w:val="0"/>
      <w:sz w:val="20"/>
      <w:szCs w:val="20"/>
      <w:lang w:val="en-GB" w:eastAsia="ja-JP"/>
    </w:rPr>
  </w:style>
  <w:style w:type="character" w:customStyle="1" w:styleId="158">
    <w:name w:val="NO Zchn"/>
    <w:qFormat/>
    <w:uiPriority w:val="0"/>
    <w:rPr>
      <w:lang w:eastAsia="en-US"/>
    </w:rPr>
  </w:style>
  <w:style w:type="character" w:customStyle="1" w:styleId="159">
    <w:name w:val="WW8Num2z1"/>
    <w:qFormat/>
    <w:uiPriority w:val="0"/>
    <w:rPr>
      <w:rFonts w:hint="default" w:ascii="Courier New" w:hAnsi="Courier New" w:cs="Courier New"/>
    </w:rPr>
  </w:style>
  <w:style w:type="paragraph" w:customStyle="1" w:styleId="160">
    <w:name w:val="proposal text"/>
    <w:basedOn w:val="1"/>
    <w:qFormat/>
    <w:uiPriority w:val="0"/>
    <w:pPr>
      <w:overflowPunct w:val="0"/>
      <w:autoSpaceDE w:val="0"/>
      <w:autoSpaceDN w:val="0"/>
      <w:adjustRightInd w:val="0"/>
      <w:spacing w:after="180"/>
      <w:textAlignment w:val="baseline"/>
    </w:pPr>
    <w:rPr>
      <w:rFonts w:ascii="Times New Roman" w:hAnsi="Times New Roman" w:eastAsia="宋体" w:cs="Times New Roman"/>
      <w:sz w:val="20"/>
      <w:szCs w:val="20"/>
      <w:lang w:val="en-GB"/>
    </w:rPr>
  </w:style>
  <w:style w:type="character" w:customStyle="1" w:styleId="161">
    <w:name w:val="B2 Car"/>
    <w:qFormat/>
    <w:uiPriority w:val="0"/>
    <w:rPr>
      <w:rFonts w:ascii="Times New Roman" w:hAnsi="Times New Roman"/>
      <w:lang w:val="en-GB"/>
    </w:rPr>
  </w:style>
  <w:style w:type="character" w:customStyle="1" w:styleId="162">
    <w:name w:val="TAL Char"/>
    <w:qFormat/>
    <w:uiPriority w:val="0"/>
    <w:rPr>
      <w:rFonts w:ascii="Arial" w:hAnsi="Arial" w:eastAsia="Times New Roman"/>
      <w:sz w:val="18"/>
    </w:rPr>
  </w:style>
  <w:style w:type="character" w:customStyle="1" w:styleId="163">
    <w:name w:val="TAH Char"/>
    <w:qFormat/>
    <w:uiPriority w:val="0"/>
    <w:rPr>
      <w:rFonts w:ascii="Arial" w:hAnsi="Arial" w:eastAsia="Times New Roman"/>
      <w:b/>
      <w:sz w:val="18"/>
    </w:rPr>
  </w:style>
  <w:style w:type="character" w:customStyle="1" w:styleId="164">
    <w:name w:val="TAC Char"/>
    <w:link w:val="82"/>
    <w:qFormat/>
    <w:locked/>
    <w:uiPriority w:val="0"/>
    <w:rPr>
      <w:rFonts w:ascii="Arial" w:hAnsi="Arial" w:cstheme="minorBidi"/>
      <w:kern w:val="2"/>
      <w:sz w:val="18"/>
      <w:szCs w:val="22"/>
      <w:lang w:val="zh-CN" w:eastAsia="zh-CN"/>
    </w:rPr>
  </w:style>
  <w:style w:type="paragraph" w:customStyle="1" w:styleId="165">
    <w:name w:val="FL"/>
    <w:basedOn w:val="1"/>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sz w:val="20"/>
      <w:szCs w:val="20"/>
      <w:lang w:val="en-GB" w:eastAsia="en-GB"/>
    </w:rPr>
  </w:style>
  <w:style w:type="paragraph" w:customStyle="1" w:styleId="166">
    <w:name w:val="修订1"/>
    <w:hidden/>
    <w:semiHidden/>
    <w:qFormat/>
    <w:uiPriority w:val="99"/>
    <w:rPr>
      <w:rFonts w:ascii="Times New Roman" w:hAnsi="Times New Roman" w:eastAsia="Times New Roman" w:cs="Times New Roman"/>
      <w:lang w:val="en-GB" w:eastAsia="en-US" w:bidi="ar-SA"/>
    </w:rPr>
  </w:style>
  <w:style w:type="paragraph" w:customStyle="1" w:styleId="167">
    <w:name w:val="B1+"/>
    <w:basedOn w:val="72"/>
    <w:link w:val="168"/>
    <w:qFormat/>
    <w:uiPriority w:val="0"/>
    <w:pPr>
      <w:numPr>
        <w:ilvl w:val="0"/>
        <w:numId w:val="15"/>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168">
    <w:name w:val="B1+ Car"/>
    <w:link w:val="167"/>
    <w:qFormat/>
    <w:uiPriority w:val="0"/>
    <w:rPr>
      <w:rFonts w:ascii="Times New Roman" w:hAnsi="Times New Roman" w:eastAsia="Times New Roman"/>
      <w:kern w:val="2"/>
    </w:rPr>
  </w:style>
  <w:style w:type="character" w:customStyle="1" w:styleId="169">
    <w:name w:val="TF Zchn"/>
    <w:qFormat/>
    <w:uiPriority w:val="0"/>
    <w:rPr>
      <w:rFonts w:ascii="Arial" w:hAnsi="Arial" w:eastAsia="Times New Roman"/>
      <w:b/>
    </w:rPr>
  </w:style>
  <w:style w:type="character" w:customStyle="1" w:styleId="170">
    <w:name w:val="B1 Zchn"/>
    <w:qFormat/>
    <w:locked/>
    <w:uiPriority w:val="0"/>
    <w:rPr>
      <w:lang w:val="en-GB" w:eastAsia="en-US"/>
    </w:rPr>
  </w:style>
  <w:style w:type="paragraph" w:customStyle="1" w:styleId="171">
    <w:name w:val="DECISION"/>
    <w:basedOn w:val="1"/>
    <w:qFormat/>
    <w:uiPriority w:val="0"/>
    <w:pPr>
      <w:numPr>
        <w:ilvl w:val="0"/>
        <w:numId w:val="16"/>
      </w:numPr>
      <w:overflowPunct w:val="0"/>
      <w:autoSpaceDE w:val="0"/>
      <w:autoSpaceDN w:val="0"/>
      <w:adjustRightInd w:val="0"/>
      <w:spacing w:before="120" w:after="120"/>
      <w:textAlignment w:val="baseline"/>
    </w:pPr>
    <w:rPr>
      <w:rFonts w:ascii="Arial" w:hAnsi="Arial" w:eastAsia="Times New Roman" w:cs="Times New Roman"/>
      <w:b/>
      <w:color w:val="0000FF"/>
      <w:sz w:val="20"/>
      <w:szCs w:val="20"/>
      <w:u w:val="single"/>
      <w:lang w:val="en-GB" w:eastAsia="en-US"/>
    </w:rPr>
  </w:style>
  <w:style w:type="paragraph" w:customStyle="1" w:styleId="172">
    <w:name w:val="msonormal"/>
    <w:basedOn w:val="1"/>
    <w:qFormat/>
    <w:uiPriority w:val="0"/>
    <w:pPr>
      <w:spacing w:before="100" w:beforeAutospacing="1" w:after="100" w:afterAutospacing="1"/>
    </w:pPr>
    <w:rPr>
      <w:rFonts w:ascii="Times New Roman" w:hAnsi="Times New Roman" w:eastAsia="Times New Roman" w:cs="Times New Roman"/>
      <w:sz w:val="24"/>
      <w:lang w:eastAsia="en-US"/>
    </w:rPr>
  </w:style>
  <w:style w:type="paragraph" w:customStyle="1" w:styleId="173">
    <w:name w:val="标题4"/>
    <w:basedOn w:val="1"/>
    <w:qFormat/>
    <w:uiPriority w:val="0"/>
    <w:pPr>
      <w:numPr>
        <w:ilvl w:val="0"/>
        <w:numId w:val="17"/>
      </w:numPr>
      <w:spacing w:after="180"/>
    </w:pPr>
    <w:rPr>
      <w:rFonts w:ascii="Times New Roman" w:hAnsi="Times New Roman" w:eastAsia="宋体" w:cs="Times New Roman"/>
      <w:sz w:val="20"/>
      <w:szCs w:val="20"/>
      <w:lang w:val="en-GB" w:eastAsia="en-US"/>
    </w:rPr>
  </w:style>
  <w:style w:type="character" w:customStyle="1" w:styleId="174">
    <w:name w:val="EX Char"/>
    <w:link w:val="79"/>
    <w:qFormat/>
    <w:locked/>
    <w:uiPriority w:val="0"/>
    <w:rPr>
      <w:rFonts w:asciiTheme="minorHAnsi" w:hAnsiTheme="minorHAnsi" w:cstheme="minorBidi"/>
      <w:kern w:val="2"/>
      <w:sz w:val="21"/>
      <w:szCs w:val="22"/>
      <w:lang w:val="en-US" w:eastAsia="zh-CN"/>
    </w:rPr>
  </w:style>
  <w:style w:type="character" w:customStyle="1" w:styleId="175">
    <w:name w:val="H6 Char"/>
    <w:link w:val="8"/>
    <w:qFormat/>
    <w:uiPriority w:val="0"/>
    <w:rPr>
      <w:rFonts w:ascii="Arial" w:hAnsi="Arial"/>
      <w:lang w:eastAsia="ja-JP"/>
    </w:rPr>
  </w:style>
  <w:style w:type="paragraph" w:customStyle="1" w:styleId="176">
    <w:name w:val="First Change"/>
    <w:basedOn w:val="1"/>
    <w:qFormat/>
    <w:uiPriority w:val="0"/>
    <w:pPr>
      <w:spacing w:after="180"/>
      <w:jc w:val="center"/>
    </w:pPr>
    <w:rPr>
      <w:rFonts w:ascii="Times New Roman" w:hAnsi="Times New Roman" w:eastAsia="Times New Roman" w:cs="Times New Roman"/>
      <w:color w:val="FF0000"/>
      <w:sz w:val="20"/>
      <w:szCs w:val="20"/>
      <w:lang w:val="en-GB" w:eastAsia="en-US"/>
    </w:rPr>
  </w:style>
  <w:style w:type="paragraph" w:customStyle="1" w:styleId="177">
    <w:name w:val="Normal + Arial"/>
    <w:basedOn w:val="1"/>
    <w:qFormat/>
    <w:uiPriority w:val="0"/>
    <w:pPr>
      <w:keepNext/>
      <w:keepLines/>
      <w:overflowPunct w:val="0"/>
      <w:autoSpaceDE w:val="0"/>
      <w:autoSpaceDN w:val="0"/>
      <w:adjustRightInd w:val="0"/>
      <w:ind w:left="600" w:leftChars="300"/>
      <w:textAlignment w:val="baseline"/>
    </w:pPr>
    <w:rPr>
      <w:rFonts w:ascii="Arial" w:hAnsi="Arial" w:eastAsia="Times New Roman" w:cs="Arial"/>
      <w:sz w:val="18"/>
      <w:szCs w:val="18"/>
      <w:lang w:val="en-GB" w:eastAsia="ja-JP"/>
    </w:rPr>
  </w:style>
  <w:style w:type="paragraph" w:customStyle="1" w:styleId="178">
    <w:name w:val="插图题注"/>
    <w:basedOn w:val="1"/>
    <w:qFormat/>
    <w:uiPriority w:val="0"/>
    <w:pPr>
      <w:spacing w:after="180"/>
    </w:pPr>
    <w:rPr>
      <w:rFonts w:ascii="Times New Roman" w:hAnsi="Times New Roman" w:eastAsia="宋体" w:cs="Times New Roman"/>
      <w:sz w:val="20"/>
      <w:szCs w:val="20"/>
      <w:lang w:val="en-GB" w:eastAsia="en-US"/>
    </w:rPr>
  </w:style>
  <w:style w:type="paragraph" w:customStyle="1" w:styleId="179">
    <w:name w:val="表格题注"/>
    <w:basedOn w:val="1"/>
    <w:qFormat/>
    <w:uiPriority w:val="0"/>
    <w:pPr>
      <w:spacing w:after="180"/>
    </w:pPr>
    <w:rPr>
      <w:rFonts w:ascii="Times New Roman" w:hAnsi="Times New Roman" w:eastAsia="宋体" w:cs="Times New Roman"/>
      <w:sz w:val="20"/>
      <w:szCs w:val="20"/>
      <w:lang w:val="en-GB" w:eastAsia="en-US"/>
    </w:rPr>
  </w:style>
  <w:style w:type="character" w:customStyle="1" w:styleId="180">
    <w:name w:val="15"/>
    <w:qFormat/>
    <w:uiPriority w:val="0"/>
    <w:rPr>
      <w:rFonts w:hint="default" w:ascii="CG Times (WN)" w:hAnsi="CG Times (WN)"/>
      <w:i/>
      <w:iCs/>
    </w:rPr>
  </w:style>
  <w:style w:type="paragraph" w:customStyle="1" w:styleId="181">
    <w:name w:val="tah"/>
    <w:basedOn w:val="1"/>
    <w:qFormat/>
    <w:uiPriority w:val="0"/>
    <w:pPr>
      <w:spacing w:before="100" w:beforeAutospacing="1" w:after="100" w:afterAutospacing="1"/>
    </w:pPr>
    <w:rPr>
      <w:rFonts w:ascii="Times New Roman" w:hAnsi="Times New Roman" w:eastAsia="Calibri" w:cs="Times New Roman"/>
      <w:sz w:val="24"/>
      <w:lang w:eastAsia="en-GB"/>
    </w:rPr>
  </w:style>
  <w:style w:type="character" w:customStyle="1" w:styleId="182">
    <w:name w:val="st"/>
    <w:qFormat/>
    <w:uiPriority w:val="0"/>
  </w:style>
  <w:style w:type="table" w:customStyle="1" w:styleId="183">
    <w:name w:val="网格型1"/>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
    <w:name w:val="题注 字符"/>
    <w:link w:val="28"/>
    <w:qFormat/>
    <w:uiPriority w:val="0"/>
    <w:rPr>
      <w:rFonts w:asciiTheme="minorHAnsi" w:hAnsiTheme="minorHAnsi" w:cstheme="minorBidi"/>
      <w:b/>
      <w:kern w:val="2"/>
      <w:sz w:val="21"/>
      <w:szCs w:val="22"/>
      <w:lang w:val="en-US"/>
    </w:rPr>
  </w:style>
  <w:style w:type="paragraph" w:customStyle="1" w:styleId="185">
    <w:name w:val="Doc-title"/>
    <w:basedOn w:val="1"/>
    <w:next w:val="116"/>
    <w:link w:val="186"/>
    <w:qFormat/>
    <w:uiPriority w:val="0"/>
    <w:pPr>
      <w:spacing w:before="60"/>
      <w:ind w:left="1259" w:hanging="1259"/>
    </w:pPr>
    <w:rPr>
      <w:rFonts w:ascii="Arial" w:hAnsi="Arial" w:eastAsia="MS Mincho" w:cs="Times New Roman"/>
      <w:kern w:val="0"/>
      <w:sz w:val="20"/>
      <w:lang w:val="en-GB" w:eastAsia="en-GB"/>
    </w:rPr>
  </w:style>
  <w:style w:type="character" w:customStyle="1" w:styleId="186">
    <w:name w:val="Doc-title Char"/>
    <w:link w:val="185"/>
    <w:qFormat/>
    <w:uiPriority w:val="0"/>
    <w:rPr>
      <w:rFonts w:ascii="Arial" w:hAnsi="Arial" w:eastAsia="MS Mincho"/>
      <w:szCs w:val="24"/>
    </w:rPr>
  </w:style>
  <w:style w:type="paragraph" w:customStyle="1" w:styleId="187">
    <w:name w:val="MiniHeading"/>
    <w:basedOn w:val="156"/>
    <w:qFormat/>
    <w:uiPriority w:val="0"/>
    <w:pPr>
      <w:spacing w:before="180"/>
    </w:pPr>
    <w:rPr>
      <w:rFonts w:eastAsia="MS Mincho" w:cs="Times New Roman"/>
      <w:iCs w:val="0"/>
      <w:kern w:val="0"/>
      <w:sz w:val="18"/>
      <w:szCs w:val="24"/>
      <w:u w:val="single"/>
      <w:lang w:val="en-US"/>
    </w:rPr>
  </w:style>
  <w:style w:type="character" w:customStyle="1" w:styleId="188">
    <w:name w:val="B3 Char"/>
    <w:qFormat/>
    <w:uiPriority w:val="0"/>
    <w:rPr>
      <w:rFonts w:eastAsia="Times New Roman"/>
    </w:rPr>
  </w:style>
  <w:style w:type="paragraph" w:customStyle="1" w:styleId="18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9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kern w:val="0"/>
      <w:lang w:val="sv-SE" w:eastAsia="ko-KR"/>
    </w:rPr>
  </w:style>
  <w:style w:type="character" w:customStyle="1" w:styleId="191">
    <w:name w:val="apple-converted-space"/>
    <w:basedOn w:val="56"/>
    <w:qFormat/>
    <w:uiPriority w:val="0"/>
  </w:style>
  <w:style w:type="character" w:customStyle="1" w:styleId="192">
    <w:name w:val="正文文本 2 字符"/>
    <w:basedOn w:val="56"/>
    <w:link w:val="46"/>
    <w:qFormat/>
    <w:uiPriority w:val="0"/>
    <w:rPr>
      <w:rFonts w:ascii="Times New Roman" w:hAnsi="Times New Roman" w:eastAsia="MS Mincho"/>
      <w:sz w:val="24"/>
      <w:lang w:eastAsia="en-US"/>
    </w:rPr>
  </w:style>
  <w:style w:type="paragraph" w:customStyle="1" w:styleId="193">
    <w:name w:val="b3"/>
    <w:basedOn w:val="1"/>
    <w:qFormat/>
    <w:uiPriority w:val="0"/>
    <w:pPr>
      <w:overflowPunct w:val="0"/>
      <w:autoSpaceDE w:val="0"/>
      <w:autoSpaceDN w:val="0"/>
      <w:spacing w:after="180" w:line="259" w:lineRule="auto"/>
      <w:ind w:left="1135" w:hanging="284"/>
    </w:pPr>
    <w:rPr>
      <w:rFonts w:ascii="Times New Roman" w:hAnsi="Times New Roman" w:eastAsia="Times New Roman" w:cs="Times New Roman"/>
      <w:kern w:val="0"/>
      <w:sz w:val="20"/>
      <w:szCs w:val="20"/>
      <w:lang w:val="en-GB" w:eastAsia="en-GB"/>
    </w:rPr>
  </w:style>
  <w:style w:type="character" w:customStyle="1" w:styleId="194">
    <w:name w:val="B8 Char"/>
    <w:link w:val="110"/>
    <w:qFormat/>
    <w:uiPriority w:val="0"/>
    <w:rPr>
      <w:rFonts w:ascii="Times New Roman" w:hAnsi="Times New Roman" w:cstheme="minorBidi"/>
      <w:kern w:val="2"/>
      <w:sz w:val="21"/>
      <w:szCs w:val="22"/>
      <w:lang w:val="en-US" w:eastAsia="ja-JP"/>
    </w:rPr>
  </w:style>
  <w:style w:type="character" w:customStyle="1" w:styleId="195">
    <w:name w:val="ui-provider"/>
    <w:basedOn w:val="56"/>
    <w:qFormat/>
    <w:uiPriority w:val="0"/>
  </w:style>
  <w:style w:type="table" w:customStyle="1" w:styleId="196">
    <w:name w:val="网格型2"/>
    <w:basedOn w:val="53"/>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
    <w:name w:val="pf0"/>
    <w:basedOn w:val="1"/>
    <w:qFormat/>
    <w:uiPriority w:val="0"/>
    <w:pPr>
      <w:spacing w:before="100" w:beforeAutospacing="1" w:after="100" w:afterAutospacing="1"/>
      <w:ind w:left="1120"/>
    </w:pPr>
    <w:rPr>
      <w:rFonts w:ascii="Times New Roman" w:hAnsi="Times New Roman" w:eastAsia="Times New Roman" w:cs="Times New Roman"/>
      <w:kern w:val="0"/>
      <w:sz w:val="24"/>
      <w:lang w:eastAsia="en-US"/>
    </w:rPr>
  </w:style>
  <w:style w:type="table" w:customStyle="1" w:styleId="198">
    <w:name w:val="网格型3"/>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网格型4"/>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标题 字符"/>
    <w:basedOn w:val="56"/>
    <w:link w:val="51"/>
    <w:qFormat/>
    <w:uiPriority w:val="10"/>
    <w:rPr>
      <w:rFonts w:ascii="Arial" w:hAnsi="Arial" w:cs="Arial"/>
      <w:b/>
      <w:bCs/>
      <w:kern w:val="28"/>
      <w:lang w:eastAsia="en-US"/>
    </w:rPr>
  </w:style>
  <w:style w:type="paragraph" w:customStyle="1" w:styleId="201">
    <w:name w:val="修订2"/>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202">
    <w:name w:val="修订3"/>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203">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4">
    <w:name w:val="修订5"/>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5">
    <w:name w:val="修订6"/>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6">
    <w:name w:val="修订7"/>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207">
    <w:name w:val="修订8"/>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208">
    <w:name w:val="修订9"/>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209">
    <w:name w:val="修订10"/>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210">
    <w:name w:val="Revision"/>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datastoreItem>
</file>

<file path=customXml/itemProps2.xml><?xml version="1.0" encoding="utf-8"?>
<ds:datastoreItem xmlns:ds="http://schemas.openxmlformats.org/officeDocument/2006/customXml" ds:itemID="{8B854ED7-CCA7-494E-BACC-2120E68FAE93}">
  <ds:schemaRefs/>
</ds:datastoreItem>
</file>

<file path=customXml/itemProps3.xml><?xml version="1.0" encoding="utf-8"?>
<ds:datastoreItem xmlns:ds="http://schemas.openxmlformats.org/officeDocument/2006/customXml" ds:itemID="{5E73D4AF-356F-4584-82ED-ED195AD3E614}">
  <ds:schemaRefs/>
</ds:datastoreItem>
</file>

<file path=customXml/itemProps4.xml><?xml version="1.0" encoding="utf-8"?>
<ds:datastoreItem xmlns:ds="http://schemas.openxmlformats.org/officeDocument/2006/customXml" ds:itemID="{40ADFA43-DB3F-44A4-8236-EC60F779B826}">
  <ds:schemaRefs/>
</ds:datastoreItem>
</file>

<file path=docProps/app.xml><?xml version="1.0" encoding="utf-8"?>
<Properties xmlns="http://schemas.openxmlformats.org/officeDocument/2006/extended-properties" xmlns:vt="http://schemas.openxmlformats.org/officeDocument/2006/docPropsVTypes">
  <Template>Normal.dotm</Template>
  <Company>CSCN</Company>
  <Pages>8</Pages>
  <Words>2628</Words>
  <Characters>14894</Characters>
  <Lines>318</Lines>
  <Paragraphs>187</Paragraphs>
  <TotalTime>3</TotalTime>
  <ScaleCrop>false</ScaleCrop>
  <LinksUpToDate>false</LinksUpToDate>
  <CharactersWithSpaces>18267</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2025-04-28T07:28:00Z</dcterms:created>
  <dc:creator>TENGRUI (CSCN)</dc:creator>
  <cp:keywords>3GPP; CSCN; TDoc</cp:keywords>
  <cp:lastModifiedBy>tengrui</cp:lastModifiedBy>
  <cp:lastPrinted>2008-01-31T07:09:00Z</cp:lastPrinted>
  <dcterms:modified xsi:type="dcterms:W3CDTF">2025-05-09T06:18:55Z</dcterms:modified>
  <dc:title>CSCN</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2052-11.1.0.12165</vt:lpwstr>
  </property>
  <property fmtid="{D5CDD505-2E9C-101B-9397-08002B2CF9AE}" pid="5" name="ICV">
    <vt:lpwstr>7A4762E2F6FA410BBBB12DFEB3665560</vt:lpwstr>
  </property>
</Properties>
</file>